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eastAsia="en-US"/>
        </w:rPr>
      </w:pPr>
      <w:r>
        <w:rPr>
          <w:rFonts w:hint="default" w:ascii="Times New Roman" w:hAnsi="Times New Roman" w:eastAsia="Batang" w:cs="Times New Roman"/>
          <w:b/>
          <w:bCs/>
          <w:sz w:val="28"/>
          <w:szCs w:val="24"/>
          <w:lang w:eastAsia="en-US"/>
        </w:rPr>
        <w:t xml:space="preserve">3GPP TSG RAN WG1 #112  </w:t>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 xml:space="preserve">                             </w:t>
      </w:r>
      <w:r>
        <w:rPr>
          <w:rFonts w:hint="default" w:ascii="Times New Roman" w:hAnsi="Times New Roman" w:eastAsia="Batang" w:cs="Times New Roman"/>
          <w:b/>
          <w:bCs/>
          <w:sz w:val="28"/>
          <w:szCs w:val="24"/>
          <w:lang w:val="en-US" w:eastAsia="en-US"/>
        </w:rPr>
        <w:t xml:space="preserve">   </w:t>
      </w:r>
      <w:r>
        <w:rPr>
          <w:rFonts w:hint="default" w:ascii="Times New Roman" w:hAnsi="Times New Roman" w:eastAsia="Batang" w:cs="Times New Roman"/>
          <w:b/>
          <w:bCs/>
          <w:sz w:val="28"/>
          <w:szCs w:val="24"/>
          <w:lang w:eastAsia="en-US"/>
        </w:rPr>
        <w:t xml:space="preserve"> R1-230</w:t>
      </w:r>
      <w:r>
        <w:rPr>
          <w:rFonts w:hint="default" w:ascii="Times New Roman" w:hAnsi="Times New Roman" w:eastAsia="Batang" w:cs="Times New Roman"/>
          <w:b/>
          <w:bCs/>
          <w:sz w:val="28"/>
          <w:szCs w:val="24"/>
          <w:lang w:val="en-US" w:eastAsia="en-US"/>
        </w:rPr>
        <w:t>1022</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eastAsia="zh-CN"/>
        </w:rPr>
      </w:pPr>
      <w:r>
        <w:rPr>
          <w:rFonts w:hint="default" w:ascii="Times New Roman" w:hAnsi="Times New Roman" w:eastAsia="Batang" w:cs="Times New Roman"/>
          <w:b/>
          <w:bCs/>
          <w:sz w:val="28"/>
          <w:szCs w:val="24"/>
          <w:lang w:eastAsia="en-US"/>
        </w:rPr>
        <w:t>Athens, Greece, February 27</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val="en-US" w:eastAsia="en-US"/>
        </w:rPr>
        <w:t xml:space="preserve"> </w:t>
      </w:r>
      <w:r>
        <w:rPr>
          <w:rFonts w:hint="default" w:ascii="Times New Roman" w:hAnsi="Times New Roman" w:eastAsia="Batang" w:cs="Times New Roman"/>
          <w:b/>
          <w:bCs/>
          <w:sz w:val="28"/>
          <w:szCs w:val="24"/>
          <w:lang w:eastAsia="en-US"/>
        </w:rPr>
        <w:t>– March 3</w:t>
      </w:r>
      <w:r>
        <w:rPr>
          <w:rFonts w:hint="default" w:ascii="Times New Roman" w:hAnsi="Times New Roman" w:eastAsia="Batang" w:cs="Times New Roman"/>
          <w:b/>
          <w:bCs/>
          <w:sz w:val="28"/>
          <w:szCs w:val="24"/>
          <w:vertAlign w:val="superscript"/>
          <w:lang w:eastAsia="en-US"/>
        </w:rPr>
        <w:t>rd</w:t>
      </w:r>
      <w:r>
        <w:rPr>
          <w:rFonts w:hint="default" w:ascii="Times New Roman" w:hAnsi="Times New Roman" w:eastAsia="Batang" w:cs="Times New Roman"/>
          <w:b/>
          <w:bCs/>
          <w:sz w:val="28"/>
          <w:szCs w:val="24"/>
          <w:lang w:eastAsia="en-US"/>
        </w:rPr>
        <w:t>, 2023</w:t>
      </w:r>
    </w:p>
    <w:p>
      <w:pPr>
        <w:pStyle w:val="125"/>
        <w:spacing w:after="0"/>
        <w:rPr>
          <w:rFonts w:ascii="Times New Roman" w:hAnsi="Times New Roman"/>
          <w:sz w:val="24"/>
          <w:szCs w:val="24"/>
          <w:lang w:val="en-US"/>
        </w:rPr>
      </w:pPr>
      <w:bookmarkStart w:id="0" w:name="OLE_LINK4"/>
      <w:bookmarkStart w:id="1" w:name="OLE_LINK3"/>
    </w:p>
    <w:p>
      <w:pPr>
        <w:pStyle w:val="125"/>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after="0"/>
        <w:rPr>
          <w:rFonts w:hint="eastAsia"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w:t>
      </w:r>
      <w:r>
        <w:rPr>
          <w:rFonts w:hint="default" w:ascii="Times New Roman" w:hAnsi="Times New Roman"/>
          <w:sz w:val="24"/>
          <w:szCs w:val="24"/>
          <w:lang w:val="en-US"/>
        </w:rPr>
        <w:t>disabling of HARQ feedback for IoT NTN</w:t>
      </w:r>
    </w:p>
    <w:p>
      <w:pPr>
        <w:pStyle w:val="125"/>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9.11</w:t>
      </w:r>
      <w:r>
        <w:rPr>
          <w:rFonts w:ascii="Times New Roman" w:hAnsi="Times New Roman"/>
          <w:sz w:val="24"/>
          <w:szCs w:val="24"/>
          <w:lang w:eastAsia="zh-CN"/>
        </w:rPr>
        <w:t>.</w:t>
      </w:r>
      <w:r>
        <w:rPr>
          <w:rFonts w:hint="default" w:ascii="Times New Roman" w:hAnsi="Times New Roman"/>
          <w:sz w:val="24"/>
          <w:szCs w:val="24"/>
          <w:lang w:val="en-US" w:eastAsia="zh-CN"/>
        </w:rPr>
        <w:t>3</w:t>
      </w:r>
    </w:p>
    <w:p>
      <w:pPr>
        <w:pStyle w:val="125"/>
        <w:pBdr>
          <w:bottom w:val="none" w:color="auto" w:sz="0" w:space="0"/>
        </w:pBdr>
        <w:spacing w:after="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lang w:eastAsia="zh-CN"/>
        </w:rPr>
        <w:tab/>
      </w:r>
      <w:r>
        <w:rPr>
          <w:rFonts w:ascii="Times New Roman" w:hAnsi="Times New Roman"/>
          <w:sz w:val="24"/>
          <w:szCs w:val="24"/>
        </w:rPr>
        <w:t>Discussion &amp; Decision</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sz w:val="28"/>
          <w:szCs w:val="28"/>
        </w:rPr>
      </w:pPr>
      <w:bookmarkStart w:id="3" w:name="_Toc120549591"/>
      <w:r>
        <w:rPr>
          <w:rFonts w:ascii="Times New Roman" w:hAnsi="Times New Roman"/>
          <w:sz w:val="28"/>
          <w:szCs w:val="28"/>
        </w:rPr>
        <w:t>Introduction</w:t>
      </w:r>
      <w:bookmarkEnd w:id="3"/>
    </w:p>
    <w:bookmarkEnd w:id="0"/>
    <w:bookmarkEnd w:id="1"/>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hint="default" w:ascii="Times New Roman" w:hAnsi="Times New Roman" w:cs="Times New Roman"/>
          <w:bCs/>
          <w:iCs/>
          <w:sz w:val="20"/>
          <w:szCs w:val="20"/>
          <w:lang w:val="en-US"/>
        </w:rPr>
      </w:pPr>
      <w:bookmarkStart w:id="4" w:name="_Hlk521259925"/>
      <w:r>
        <w:rPr>
          <w:rFonts w:hint="default" w:ascii="Times New Roman" w:hAnsi="Times New Roman" w:cs="Times New Roman"/>
          <w:bCs/>
          <w:iCs/>
          <w:sz w:val="20"/>
          <w:szCs w:val="20"/>
          <w:lang w:val="en-US"/>
        </w:rPr>
        <w:t xml:space="preserve">During last RAN1 meeting, the respective configurations of disabling of HARQ feedback in IoT NTN have been discussed, and some progress were achieved [1]. </w:t>
      </w:r>
    </w:p>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n this contribution, we will</w:t>
      </w:r>
      <w:r>
        <w:rPr>
          <w:rFonts w:hint="default" w:ascii="Times New Roman" w:hAnsi="Times New Roman" w:cs="Times New Roman"/>
          <w:bCs/>
          <w:iCs/>
          <w:sz w:val="20"/>
          <w:szCs w:val="20"/>
          <w:lang w:val="en-US"/>
        </w:rPr>
        <w:t xml:space="preserve"> further</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discuss and share our views on d</w:t>
      </w:r>
      <w:r>
        <w:rPr>
          <w:rFonts w:hint="eastAsia" w:ascii="Times New Roman" w:hAnsi="Times New Roman" w:cs="Times New Roman"/>
          <w:bCs/>
          <w:iCs/>
          <w:sz w:val="20"/>
          <w:szCs w:val="20"/>
        </w:rPr>
        <w:t>isabling of HARQ feedback</w:t>
      </w:r>
      <w:r>
        <w:rPr>
          <w:rFonts w:hint="default" w:ascii="Times New Roman" w:hAnsi="Times New Roman" w:cs="Times New Roman"/>
          <w:bCs/>
          <w:iCs/>
          <w:sz w:val="20"/>
          <w:szCs w:val="20"/>
          <w:lang w:val="en-US"/>
        </w:rPr>
        <w:t xml:space="preserve"> for IoT NTN, including the detailed configuration and other </w:t>
      </w:r>
      <w:r>
        <w:rPr>
          <w:rFonts w:ascii="Times New Roman" w:hAnsi="Times New Roman" w:cs="Times New Roman"/>
          <w:bCs/>
          <w:iCs/>
          <w:sz w:val="20"/>
          <w:szCs w:val="20"/>
        </w:rPr>
        <w:t>enhancement</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on </w:t>
      </w:r>
      <w:r>
        <w:rPr>
          <w:rFonts w:hint="default" w:ascii="Times New Roman" w:hAnsi="Times New Roman" w:cs="Times New Roman"/>
          <w:bCs/>
          <w:iCs/>
          <w:sz w:val="20"/>
          <w:szCs w:val="20"/>
          <w:lang w:val="en-US"/>
        </w:rPr>
        <w:t>disabling of HARQ feedback for IoT NTN</w:t>
      </w:r>
      <w:r>
        <w:rPr>
          <w:rFonts w:ascii="Times New Roman" w:hAnsi="Times New Roman" w:cs="Times New Roman"/>
          <w:bCs/>
          <w:iCs/>
          <w:sz w:val="20"/>
          <w:szCs w:val="20"/>
        </w:rPr>
        <w:t>.</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hint="default" w:ascii="Times New Roman" w:hAnsi="Times New Roman" w:cs="Times New Roman"/>
          <w:sz w:val="28"/>
          <w:szCs w:val="28"/>
          <w:lang w:eastAsia="zh-CN"/>
        </w:rPr>
        <w:t>D</w:t>
      </w:r>
      <w:r>
        <w:rPr>
          <w:rFonts w:ascii="Times New Roman" w:hAnsi="Times New Roman" w:cs="Times New Roman"/>
          <w:sz w:val="28"/>
          <w:szCs w:val="28"/>
          <w:lang w:eastAsia="zh-CN"/>
        </w:rPr>
        <w:t>iscussion</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2.1 Configuration of disabling HARQ feedback</w:t>
      </w:r>
    </w:p>
    <w:p>
      <w:pPr>
        <w:spacing w:before="120" w:beforeLines="50" w:after="120" w:afterLines="50"/>
        <w:rPr>
          <w:rFonts w:hint="default" w:ascii="Times New Roman" w:hAnsi="Times New Roman" w:cs="Times New Roman"/>
          <w:bCs/>
          <w:iCs/>
          <w:sz w:val="20"/>
          <w:szCs w:val="20"/>
          <w:lang w:val="en-US"/>
        </w:rPr>
      </w:pPr>
      <w:r>
        <w:rPr>
          <w:rFonts w:ascii="Times New Roman" w:hAnsi="Times New Roman" w:cs="Times New Roman"/>
          <w:sz w:val="20"/>
          <w:szCs w:val="20"/>
        </w:rPr>
        <w:t xml:space="preserve">Disabling </w:t>
      </w:r>
      <w:r>
        <w:rPr>
          <w:rFonts w:hint="default" w:ascii="Times New Roman" w:hAnsi="Times New Roman" w:cs="Times New Roman"/>
          <w:sz w:val="20"/>
          <w:szCs w:val="20"/>
          <w:lang w:val="en-US"/>
        </w:rPr>
        <w:t xml:space="preserve">of </w:t>
      </w:r>
      <w:r>
        <w:rPr>
          <w:rFonts w:ascii="Times New Roman" w:hAnsi="Times New Roman" w:cs="Times New Roman"/>
          <w:sz w:val="20"/>
          <w:szCs w:val="20"/>
        </w:rPr>
        <w:t>HARQ feedback is beneficial to</w:t>
      </w:r>
      <w:r>
        <w:rPr>
          <w:rFonts w:hint="default" w:ascii="Times New Roman" w:hAnsi="Times New Roman" w:cs="Times New Roman"/>
          <w:sz w:val="20"/>
          <w:szCs w:val="20"/>
          <w:lang w:val="en-US"/>
        </w:rPr>
        <w:t xml:space="preserve"> </w:t>
      </w:r>
      <w:r>
        <w:rPr>
          <w:rFonts w:ascii="Times New Roman" w:hAnsi="Times New Roman" w:cs="Times New Roman"/>
          <w:sz w:val="20"/>
          <w:szCs w:val="20"/>
        </w:rPr>
        <w:t xml:space="preserve">throughput improvement and latency reduction. </w:t>
      </w:r>
      <w:r>
        <w:rPr>
          <w:rFonts w:hint="default" w:ascii="Times New Roman" w:hAnsi="Times New Roman" w:cs="Times New Roman"/>
          <w:sz w:val="20"/>
          <w:szCs w:val="20"/>
          <w:lang w:val="en-US"/>
        </w:rPr>
        <w:t>In addition, disabling of HARQ feedback may especially bring more benefits to the GEO network scenarios (e.g. GEO with RTT about 500 ms) due to the transmission waiting time is reduced.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Cs/>
          <w:iCs/>
          <w:sz w:val="20"/>
          <w:szCs w:val="20"/>
        </w:rPr>
      </w:pPr>
      <w:r>
        <w:rPr>
          <w:rFonts w:hint="default" w:ascii="Times New Roman" w:hAnsi="Times New Roman" w:cs="Times New Roman"/>
          <w:bCs/>
          <w:iCs/>
          <w:sz w:val="20"/>
          <w:szCs w:val="20"/>
          <w:lang w:val="en-US"/>
        </w:rPr>
        <w:t>For the disabling of HARQ feedback in IoT NTN, one key issue is the configuration of enabling/disabling HARQ feedback for both eMTC and NB IoT NTN. Several options from different perspectives were discussed during previous RAN1 meetings, and the working assumption on reusing RRC signalling for CE Mode A and using two merged options for NB-IoT NTN and eMTC NTN for CE Mode B were achieved in the last RAN1 meeting [1].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8" w:hRule="atLeast"/>
          <w:jc w:val="center"/>
        </w:trPr>
        <w:tc>
          <w:tcPr>
            <w:tcW w:w="9962"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RAN1#110 </w:t>
            </w: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eMTC NTN, to configure/indicate enabling/disabling of HARQ feedback for downlink transmission, down select one or more from the following options:</w:t>
            </w:r>
          </w:p>
          <w:p>
            <w:pPr>
              <w:numPr>
                <w:ilvl w:val="0"/>
                <w:numId w:val="11"/>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per HARQ process via UE specific RRC signaling.</w:t>
            </w:r>
          </w:p>
          <w:p>
            <w:pPr>
              <w:numPr>
                <w:ilvl w:val="0"/>
                <w:numId w:val="11"/>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explicitly indicated by DCI (e.g., new field or reusing existing field).</w:t>
            </w:r>
          </w:p>
          <w:p>
            <w:pPr>
              <w:numPr>
                <w:ilvl w:val="0"/>
                <w:numId w:val="11"/>
              </w:numPr>
              <w:ind w:left="839"/>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4: implicitly indicated by existing configured/indicated/combined parameter(s) in the DCI (e.g., repetition number, TBS)</w:t>
            </w:r>
          </w:p>
          <w:p>
            <w:pPr>
              <w:numPr>
                <w:ilvl w:val="0"/>
                <w:numId w:val="11"/>
              </w:numPr>
              <w:ind w:left="839"/>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6: combinations of some options above.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hint="default" w:ascii="Times New Roman" w:hAnsi="Times New Roman" w:eastAsia="MS Mincho" w:cs="Times New Roman"/>
                <w:b/>
                <w:bCs/>
                <w:kern w:val="0"/>
                <w:sz w:val="20"/>
                <w:szCs w:val="20"/>
                <w:highlight w:val="green"/>
                <w:lang w:val="en-US" w:eastAsia="en-US"/>
              </w:rPr>
              <w:t xml:space="preserve">RAN1#110 </w:t>
            </w: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NB-IoT NTN, to configure/indicate enabling/disabling of HARQ feedback for downlink transmission, down select one or more from the following options:</w:t>
            </w:r>
          </w:p>
          <w:p>
            <w:pPr>
              <w:numPr>
                <w:ilvl w:val="0"/>
                <w:numId w:val="12"/>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per HARQ process via UE specific RRC signaling</w:t>
            </w:r>
          </w:p>
          <w:p>
            <w:pPr>
              <w:numPr>
                <w:ilvl w:val="0"/>
                <w:numId w:val="12"/>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explicitly indicated by DCI (e.g., new field or reusing existing field)</w:t>
            </w:r>
          </w:p>
          <w:p>
            <w:pPr>
              <w:numPr>
                <w:ilvl w:val="0"/>
                <w:numId w:val="12"/>
              </w:numPr>
              <w:ind w:left="839"/>
              <w:rPr>
                <w:rFonts w:hint="default" w:ascii="Times New Roman" w:hAnsi="Times New Roman" w:eastAsia="MS Mincho" w:cs="Times New Roman"/>
                <w:b/>
                <w:bCs/>
                <w:kern w:val="0"/>
                <w:sz w:val="20"/>
                <w:szCs w:val="20"/>
                <w:highlight w:val="none"/>
                <w:lang w:val="en-US" w:eastAsia="en-US"/>
              </w:rPr>
            </w:pPr>
            <w:r>
              <w:rPr>
                <w:rFonts w:hint="default" w:ascii="Times New Roman" w:hAnsi="Times New Roman" w:cs="Times New Roman"/>
                <w:sz w:val="20"/>
                <w:szCs w:val="20"/>
                <w:highlight w:val="none"/>
                <w:lang w:val="en-US" w:eastAsia="zh-CN"/>
              </w:rPr>
              <w:t>Option 4: implicitly indicated by existing configured/indicated/combined parameter(s) in the DCI (e.g., repetition number, TBS)</w:t>
            </w:r>
          </w:p>
          <w:p>
            <w:pPr>
              <w:numPr>
                <w:ilvl w:val="0"/>
                <w:numId w:val="12"/>
              </w:numPr>
              <w:ind w:left="839"/>
              <w:rPr>
                <w:rFonts w:hint="default" w:ascii="Times New Roman" w:hAnsi="Times New Roman" w:eastAsia="MS Mincho" w:cs="Times New Roman"/>
                <w:b/>
                <w:bCs/>
                <w:kern w:val="0"/>
                <w:sz w:val="20"/>
                <w:szCs w:val="20"/>
                <w:highlight w:val="none"/>
                <w:lang w:val="en-US" w:eastAsia="en-US"/>
              </w:rPr>
            </w:pPr>
            <w:r>
              <w:rPr>
                <w:rFonts w:hint="default" w:ascii="Times New Roman" w:hAnsi="Times New Roman" w:cs="Times New Roman"/>
                <w:sz w:val="20"/>
                <w:szCs w:val="20"/>
                <w:highlight w:val="none"/>
                <w:lang w:val="en-US" w:eastAsia="zh-CN"/>
              </w:rPr>
              <w:t>Option 6: combinations of some options above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hint="default" w:ascii="Times New Roman" w:hAnsi="Times New Roman" w:eastAsia="MS Mincho" w:cs="Times New Roman"/>
                <w:b/>
                <w:bCs/>
                <w:kern w:val="0"/>
                <w:sz w:val="20"/>
                <w:szCs w:val="20"/>
                <w:highlight w:val="green"/>
                <w:lang w:val="en-US" w:eastAsia="en-US"/>
              </w:rPr>
              <w:t xml:space="preserve">RAN1#110b-e </w:t>
            </w:r>
            <w:r>
              <w:rPr>
                <w:rFonts w:hint="eastAsia" w:ascii="Times New Roman" w:hAnsi="Times New Roman" w:eastAsia="MS Mincho" w:cs="Times New Roman"/>
                <w:b/>
                <w:bCs/>
                <w:kern w:val="0"/>
                <w:sz w:val="20"/>
                <w:szCs w:val="20"/>
                <w:highlight w:val="green"/>
                <w:lang w:eastAsia="en-US"/>
              </w:rPr>
              <w:t>Agreement</w:t>
            </w:r>
          </w:p>
          <w:p>
            <w:pPr>
              <w:pStyle w:val="214"/>
              <w:rPr>
                <w:rFonts w:hint="default" w:ascii="Times New Roman" w:hAnsi="Times New Roman" w:cs="Times New Roman"/>
                <w:sz w:val="20"/>
                <w:szCs w:val="20"/>
              </w:rPr>
            </w:pPr>
            <w:r>
              <w:rPr>
                <w:rFonts w:hint="default" w:ascii="Times New Roman" w:hAnsi="Times New Roman" w:cs="Times New Roman"/>
                <w:sz w:val="20"/>
                <w:szCs w:val="20"/>
              </w:rPr>
              <w:t xml:space="preserve">For NB-IoT NTN, to configure/indicate enabling/disabling of HARQ feedback for downlink transmission, down select </w:t>
            </w:r>
            <w:r>
              <w:rPr>
                <w:rFonts w:hint="default" w:ascii="Times New Roman" w:hAnsi="Times New Roman" w:cs="Times New Roman"/>
                <w:b/>
                <w:bCs/>
                <w:sz w:val="20"/>
                <w:szCs w:val="20"/>
              </w:rPr>
              <w:t>ONE</w:t>
            </w:r>
            <w:r>
              <w:rPr>
                <w:rFonts w:hint="default" w:ascii="Times New Roman" w:hAnsi="Times New Roman" w:cs="Times New Roman"/>
                <w:sz w:val="20"/>
                <w:szCs w:val="20"/>
              </w:rPr>
              <w:t xml:space="preserve"> from the following options at RAN1#111:</w:t>
            </w:r>
          </w:p>
          <w:p>
            <w:pPr>
              <w:numPr>
                <w:ilvl w:val="0"/>
                <w:numId w:val="13"/>
              </w:numPr>
              <w:snapToGrid w:val="0"/>
              <w:ind w:left="839"/>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6a-1: Support RRC signaling configured between Option 1 and Option 3</w:t>
            </w:r>
          </w:p>
          <w:p>
            <w:pPr>
              <w:numPr>
                <w:ilvl w:val="0"/>
                <w:numId w:val="13"/>
              </w:numPr>
              <w:snapToGrid w:val="0"/>
              <w:ind w:left="839"/>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6a-4: Support Option 1 by default, and support Option 3 to override default configuration for corresponding transmission</w:t>
            </w:r>
          </w:p>
          <w:p>
            <w:pPr>
              <w:keepNext w:val="0"/>
              <w:keepLines w:val="0"/>
              <w:pageBreakBefore w:val="0"/>
              <w:widowControl w:val="0"/>
              <w:kinsoku/>
              <w:wordWrap/>
              <w:overflowPunct/>
              <w:topLinePunct w:val="0"/>
              <w:autoSpaceDE/>
              <w:autoSpaceDN/>
              <w:bidi w:val="0"/>
              <w:adjustRightInd/>
              <w:snapToGrid/>
              <w:spacing w:before="0" w:beforeLines="50"/>
              <w:textAlignment w:val="auto"/>
              <w:rPr>
                <w:rFonts w:ascii="Times New Roman" w:hAnsi="Times New Roman"/>
                <w:iCs/>
                <w:sz w:val="20"/>
                <w:szCs w:val="20"/>
                <w:lang w:eastAsia="zh-CN"/>
              </w:rPr>
            </w:pPr>
            <w:r>
              <w:rPr>
                <w:rFonts w:hint="default" w:ascii="Times New Roman" w:hAnsi="Times New Roman"/>
                <w:iCs/>
                <w:sz w:val="20"/>
                <w:szCs w:val="20"/>
                <w:highlight w:val="darkYellow"/>
                <w:lang w:val="en-US" w:eastAsia="zh-CN"/>
              </w:rPr>
              <w:t xml:space="preserve">RAN1#111 </w:t>
            </w:r>
            <w:r>
              <w:rPr>
                <w:rFonts w:ascii="Times New Roman" w:hAnsi="Times New Roman"/>
                <w:iCs/>
                <w:sz w:val="20"/>
                <w:szCs w:val="20"/>
                <w:highlight w:val="darkYellow"/>
                <w:lang w:eastAsia="zh-CN"/>
              </w:rPr>
              <w:t>Working assumption</w:t>
            </w:r>
          </w:p>
          <w:p>
            <w:pPr>
              <w:rPr>
                <w:rFonts w:ascii="Times New Roman" w:hAnsi="Times New Roman" w:eastAsia="Calibri"/>
                <w:sz w:val="20"/>
                <w:szCs w:val="20"/>
                <w:lang w:val="en-US"/>
              </w:rPr>
            </w:pPr>
            <w:r>
              <w:rPr>
                <w:rFonts w:ascii="Times New Roman" w:hAnsi="Times New Roman" w:eastAsia="Calibri"/>
                <w:sz w:val="20"/>
                <w:szCs w:val="20"/>
                <w:lang w:val="en-US"/>
              </w:rPr>
              <w:t xml:space="preserve">For NB-IoT NTN and </w:t>
            </w:r>
            <w:r>
              <w:rPr>
                <w:rFonts w:ascii="Times New Roman" w:hAnsi="Times New Roman" w:eastAsia="Calibri"/>
                <w:sz w:val="20"/>
                <w:szCs w:val="20"/>
                <w:lang w:val="en-US" w:eastAsia="zh-CN"/>
              </w:rPr>
              <w:t>eMTC NTN for CE Mode B</w:t>
            </w:r>
            <w:r>
              <w:rPr>
                <w:rFonts w:ascii="Times New Roman" w:hAnsi="Times New Roman" w:eastAsia="Calibri"/>
                <w:sz w:val="20"/>
                <w:szCs w:val="20"/>
                <w:lang w:val="en-US"/>
              </w:rPr>
              <w:t>, to configure/indicate enabling/disabling of HARQ feedback for downlink transmission:</w:t>
            </w:r>
          </w:p>
          <w:p>
            <w:pPr>
              <w:numPr>
                <w:ilvl w:val="0"/>
                <w:numId w:val="14"/>
              </w:numPr>
              <w:snapToGrid w:val="0"/>
              <w:ind w:left="839" w:hanging="420"/>
              <w:rPr>
                <w:rFonts w:ascii="Times New Roman" w:hAnsi="Times New Roman"/>
                <w:sz w:val="20"/>
                <w:szCs w:val="20"/>
              </w:rPr>
            </w:pPr>
            <w:r>
              <w:rPr>
                <w:rFonts w:ascii="Times New Roman" w:hAnsi="Times New Roman"/>
                <w:sz w:val="20"/>
                <w:szCs w:val="20"/>
              </w:rPr>
              <w:t>Support Option 1 by default, and support Option 3 to override default configuration for corresponding transmission</w:t>
            </w:r>
          </w:p>
          <w:p>
            <w:pPr>
              <w:numPr>
                <w:ilvl w:val="1"/>
                <w:numId w:val="14"/>
              </w:numPr>
              <w:snapToGrid w:val="0"/>
              <w:ind w:left="1259" w:hanging="420"/>
              <w:rPr>
                <w:rFonts w:ascii="Times New Roman" w:hAnsi="Times New Roman"/>
                <w:sz w:val="20"/>
                <w:szCs w:val="20"/>
              </w:rPr>
            </w:pPr>
            <w:r>
              <w:rPr>
                <w:rFonts w:ascii="Times New Roman" w:hAnsi="Times New Roman"/>
                <w:sz w:val="20"/>
                <w:szCs w:val="20"/>
                <w:lang w:eastAsia="zh-CN"/>
              </w:rPr>
              <w:t>Additional RRC signaling to enable Option 3</w:t>
            </w:r>
          </w:p>
          <w:p>
            <w:pPr>
              <w:numPr>
                <w:ilvl w:val="1"/>
                <w:numId w:val="14"/>
              </w:numPr>
              <w:snapToGrid w:val="0"/>
              <w:ind w:left="1259" w:hanging="420"/>
              <w:rPr>
                <w:rFonts w:ascii="Times New Roman" w:hAnsi="Times New Roman"/>
                <w:sz w:val="20"/>
                <w:szCs w:val="20"/>
              </w:rPr>
            </w:pPr>
            <w:r>
              <w:rPr>
                <w:rFonts w:ascii="Times New Roman" w:hAnsi="Times New Roman"/>
                <w:sz w:val="20"/>
                <w:szCs w:val="20"/>
              </w:rPr>
              <w:t>If the bitmap for option 1 is not present and if option 3 is configured then the DCI directly indicates HARQ enable/disable. Option 3 can also be configured when the bitmap for option 1 is configured.</w:t>
            </w:r>
          </w:p>
          <w:p>
            <w:pPr>
              <w:numPr>
                <w:ilvl w:val="1"/>
                <w:numId w:val="14"/>
              </w:numPr>
              <w:snapToGrid w:val="0"/>
              <w:ind w:left="1259" w:hanging="420"/>
              <w:rPr>
                <w:rFonts w:ascii="Times New Roman" w:hAnsi="Times New Roman"/>
                <w:sz w:val="20"/>
                <w:szCs w:val="20"/>
              </w:rPr>
            </w:pPr>
            <w:r>
              <w:rPr>
                <w:rFonts w:ascii="Times New Roman" w:hAnsi="Times New Roman"/>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pPr>
              <w:numPr>
                <w:ilvl w:val="1"/>
                <w:numId w:val="14"/>
              </w:numPr>
              <w:snapToGrid w:val="0"/>
              <w:ind w:left="1259" w:hanging="420"/>
              <w:rPr>
                <w:rFonts w:ascii="Times New Roman" w:hAnsi="Times New Roman"/>
                <w:sz w:val="20"/>
                <w:szCs w:val="20"/>
              </w:rPr>
            </w:pPr>
            <w:r>
              <w:rPr>
                <w:rFonts w:ascii="Times New Roman" w:hAnsi="Times New Roman"/>
                <w:sz w:val="20"/>
                <w:szCs w:val="20"/>
                <w:lang w:eastAsia="zh-CN"/>
              </w:rPr>
              <w:t>FFS #2: whether/how to support Option 3 overriding default configuration for corresponding transmission for multiple TBs scheduled by single DCI</w:t>
            </w:r>
          </w:p>
          <w:p>
            <w:pPr>
              <w:rPr>
                <w:rFonts w:hint="default" w:ascii="Times New Roman" w:hAnsi="Times New Roman" w:cs="Times New Roman"/>
                <w:sz w:val="20"/>
                <w:szCs w:val="20"/>
                <w:lang w:val="en-US"/>
              </w:rPr>
            </w:pPr>
            <w:r>
              <w:rPr>
                <w:rFonts w:ascii="Times New Roman" w:hAnsi="Times New Roman"/>
                <w:sz w:val="20"/>
                <w:szCs w:val="20"/>
                <w:lang w:eastAsia="zh-CN"/>
              </w:rPr>
              <w:t xml:space="preserve">For eMTC NTN, to configure/indicate enabling/disabling of </w:t>
            </w:r>
            <w:r>
              <w:rPr>
                <w:rFonts w:ascii="Times New Roman" w:hAnsi="Times New Roman"/>
                <w:sz w:val="20"/>
                <w:szCs w:val="20"/>
              </w:rPr>
              <w:t xml:space="preserve">HARQ feedback </w:t>
            </w:r>
            <w:r>
              <w:rPr>
                <w:rFonts w:ascii="Times New Roman" w:hAnsi="Times New Roman"/>
                <w:sz w:val="20"/>
                <w:szCs w:val="20"/>
                <w:lang w:eastAsia="zh-CN"/>
              </w:rPr>
              <w:t>for downlink transmission, take Option 1 for CE Mode A.</w:t>
            </w:r>
          </w:p>
          <w:p>
            <w:pPr>
              <w:numPr>
                <w:ilvl w:val="0"/>
                <w:numId w:val="0"/>
              </w:numPr>
              <w:rPr>
                <w:rFonts w:hint="default" w:ascii="Times New Roman" w:hAnsi="Times New Roman" w:cs="Times New Roman"/>
                <w:sz w:val="20"/>
                <w:szCs w:val="20"/>
                <w:lang w:val="en-US" w:eastAsia="en-US"/>
              </w:rPr>
            </w:pPr>
          </w:p>
        </w:tc>
      </w:tr>
    </w:tbl>
    <w:p>
      <w:pPr>
        <w:spacing w:before="120" w:beforeLines="50" w:after="120" w:afterLines="50"/>
        <w:rPr>
          <w:rFonts w:hint="default" w:ascii="Times New Roman" w:hAnsi="Times New Roman" w:cs="Times New Roman"/>
          <w:sz w:val="20"/>
          <w:szCs w:val="20"/>
          <w:lang w:val="en-US"/>
        </w:rPr>
      </w:pPr>
      <w:r>
        <w:rPr>
          <w:rFonts w:hint="default" w:ascii="Times New Roman" w:hAnsi="Times New Roman" w:cs="Times New Roman"/>
          <w:b w:val="0"/>
          <w:bCs/>
          <w:i w:val="0"/>
          <w:iCs/>
          <w:sz w:val="20"/>
          <w:szCs w:val="20"/>
          <w:u w:val="none"/>
          <w:lang w:val="en-US"/>
        </w:rPr>
        <w:t xml:space="preserve">Considering the configuration of enabling/disabling HARQ feedback, since there are concerns on MAC CE activation issue and other important message for NB IoT NTN and eMTC NTN for CE Mode B with very limited number of HARQ process, especially for single HARQ process, it is recommended that the DCI indication method should also be taken into consideration to </w:t>
      </w:r>
      <w:r>
        <w:rPr>
          <w:rFonts w:hint="default" w:ascii="Times New Roman" w:hAnsi="Times New Roman" w:cs="Times New Roman"/>
          <w:sz w:val="20"/>
          <w:szCs w:val="20"/>
          <w:lang w:val="en-US"/>
        </w:rPr>
        <w:t xml:space="preserve">provide more flexibility, </w:t>
      </w:r>
      <w:r>
        <w:rPr>
          <w:rFonts w:hint="default" w:ascii="Times New Roman" w:hAnsi="Times New Roman"/>
          <w:sz w:val="20"/>
          <w:szCs w:val="20"/>
          <w:lang w:val="en-US"/>
        </w:rPr>
        <w:t>which can enable the HARQ feedback for important</w:t>
      </w:r>
      <w:r>
        <w:rPr>
          <w:rFonts w:hint="default" w:ascii="Times New Roman" w:hAnsi="Times New Roman" w:cs="Times New Roman"/>
          <w:sz w:val="20"/>
          <w:szCs w:val="20"/>
          <w:lang w:val="en-US"/>
        </w:rPr>
        <w:t xml:space="preserve"> RRC signalling and MAC CE message, and RRC configuration is considered as the </w:t>
      </w:r>
      <w:r>
        <w:rPr>
          <w:rFonts w:ascii="Times New Roman" w:hAnsi="Times New Roman"/>
          <w:sz w:val="20"/>
          <w:szCs w:val="20"/>
        </w:rPr>
        <w:t>default configuration</w:t>
      </w:r>
      <w:r>
        <w:rPr>
          <w:rFonts w:hint="default" w:ascii="Times New Roman" w:hAnsi="Times New Roman" w:cs="Times New Roman"/>
          <w:sz w:val="20"/>
          <w:szCs w:val="20"/>
          <w:lang w:val="en-US"/>
        </w:rPr>
        <w:t xml:space="preserve">.  </w:t>
      </w:r>
    </w:p>
    <w:p>
      <w:pPr>
        <w:spacing w:before="120" w:beforeLines="50" w:after="120" w:afterLines="50"/>
        <w:rPr>
          <w:rFonts w:hint="default" w:ascii="Times New Roman" w:hAnsi="Times New Roman"/>
          <w:sz w:val="20"/>
          <w:szCs w:val="20"/>
          <w:lang w:val="en-US" w:eastAsia="zh-CN"/>
        </w:rPr>
      </w:pPr>
      <w:r>
        <w:rPr>
          <w:rFonts w:hint="default" w:ascii="Times New Roman" w:hAnsi="Times New Roman" w:cs="Times New Roman"/>
          <w:sz w:val="20"/>
          <w:szCs w:val="20"/>
          <w:lang w:val="en-US"/>
        </w:rPr>
        <w:t xml:space="preserve">For both NB IoT NTN and eMTC NTN UE, the bitmap to indicate the configuration per HARQ process in NR NTN can be reused for RRC-based mechanism. Moreover, for NB-IoT NTN and eMTC NTN for CE Mode B, </w:t>
      </w:r>
      <w:r>
        <w:rPr>
          <w:rFonts w:hint="default" w:ascii="Times New Roman" w:hAnsi="Times New Roman" w:cs="Times New Roman"/>
          <w:sz w:val="20"/>
          <w:szCs w:val="20"/>
          <w:lang w:val="en-US" w:eastAsia="zh-CN"/>
        </w:rPr>
        <w:t xml:space="preserve">if additional RRC signalling indicates to enable DCI to override the semi-static configuration of </w:t>
      </w:r>
      <w:r>
        <w:rPr>
          <w:rFonts w:hint="default" w:ascii="Times New Roman" w:hAnsi="Times New Roman" w:cs="Times New Roman"/>
          <w:sz w:val="20"/>
          <w:szCs w:val="20"/>
          <w:lang w:val="en-US"/>
        </w:rPr>
        <w:t xml:space="preserve">enabling/disabling HARQ feedback, the issue and detailed configuration of </w:t>
      </w:r>
      <w:r>
        <w:rPr>
          <w:rFonts w:ascii="Times New Roman" w:hAnsi="Times New Roman"/>
          <w:sz w:val="20"/>
          <w:szCs w:val="20"/>
          <w:lang w:eastAsia="zh-CN"/>
        </w:rPr>
        <w:t>DCI-based overridden mechanism</w:t>
      </w:r>
      <w:r>
        <w:rPr>
          <w:rFonts w:hint="default" w:ascii="Times New Roman" w:hAnsi="Times New Roman"/>
          <w:sz w:val="20"/>
          <w:szCs w:val="20"/>
          <w:lang w:val="en-US" w:eastAsia="zh-CN"/>
        </w:rPr>
        <w:t xml:space="preserve"> needs to be discussed. </w:t>
      </w:r>
    </w:p>
    <w:p>
      <w:pPr>
        <w:spacing w:before="120" w:beforeLines="50" w:after="120" w:afterLines="50"/>
        <w:rPr>
          <w:rFonts w:hint="default" w:ascii="Times New Roman" w:hAnsi="Times New Roman"/>
          <w:sz w:val="20"/>
          <w:szCs w:val="20"/>
          <w:lang w:val="en-US" w:eastAsia="zh-CN"/>
        </w:rPr>
      </w:pPr>
      <w:r>
        <w:rPr>
          <w:rFonts w:hint="default" w:ascii="Times New Roman" w:hAnsi="Times New Roman" w:cs="Times New Roman"/>
          <w:sz w:val="20"/>
          <w:szCs w:val="20"/>
          <w:lang w:val="en-US"/>
        </w:rPr>
        <w:t>From our perspective, DCI-based mechanism can be enabled to support dynamic enabling/disabling configuration for the HARQ process. Considering that d</w:t>
      </w:r>
      <w:r>
        <w:rPr>
          <w:rFonts w:ascii="Times New Roman" w:hAnsi="Times New Roman" w:cs="Times New Roman"/>
          <w:sz w:val="20"/>
          <w:szCs w:val="20"/>
        </w:rPr>
        <w:t xml:space="preserve">isabling </w:t>
      </w:r>
      <w:r>
        <w:rPr>
          <w:rFonts w:hint="default" w:ascii="Times New Roman" w:hAnsi="Times New Roman" w:cs="Times New Roman"/>
          <w:sz w:val="20"/>
          <w:szCs w:val="20"/>
          <w:lang w:val="en-US"/>
        </w:rPr>
        <w:t xml:space="preserve">of </w:t>
      </w:r>
      <w:r>
        <w:rPr>
          <w:rFonts w:ascii="Times New Roman" w:hAnsi="Times New Roman" w:cs="Times New Roman"/>
          <w:sz w:val="20"/>
          <w:szCs w:val="20"/>
        </w:rPr>
        <w:t>HARQ feedback is beneficial to</w:t>
      </w:r>
      <w:r>
        <w:rPr>
          <w:rFonts w:hint="default" w:ascii="Times New Roman" w:hAnsi="Times New Roman" w:cs="Times New Roman"/>
          <w:sz w:val="20"/>
          <w:szCs w:val="20"/>
          <w:lang w:val="en-US"/>
        </w:rPr>
        <w:t xml:space="preserve"> </w:t>
      </w:r>
      <w:r>
        <w:rPr>
          <w:rFonts w:ascii="Times New Roman" w:hAnsi="Times New Roman" w:cs="Times New Roman"/>
          <w:sz w:val="20"/>
          <w:szCs w:val="20"/>
        </w:rPr>
        <w:t>throughput improvement and latency reduction</w:t>
      </w:r>
      <w:r>
        <w:rPr>
          <w:rFonts w:hint="default" w:ascii="Times New Roman" w:hAnsi="Times New Roman" w:cs="Times New Roman"/>
          <w:sz w:val="20"/>
          <w:szCs w:val="20"/>
          <w:lang w:val="en-US"/>
        </w:rPr>
        <w:t>, it is reasonable to also apply the DCI-based overridden mechanism on semi-statically HARQ enabled process, which can provide more flexibility and avoid the latency caused by RRC reconfiguration</w:t>
      </w:r>
      <w:r>
        <w:rPr>
          <w:rFonts w:ascii="Times New Roman" w:hAnsi="Times New Roman" w:cs="Times New Roman"/>
          <w:sz w:val="20"/>
          <w:szCs w:val="20"/>
        </w:rPr>
        <w:t>.</w:t>
      </w:r>
      <w:r>
        <w:rPr>
          <w:rFonts w:hint="default" w:ascii="Times New Roman" w:hAnsi="Times New Roman" w:cs="Times New Roman"/>
          <w:sz w:val="20"/>
          <w:szCs w:val="20"/>
          <w:lang w:val="en-US"/>
        </w:rPr>
        <w:t xml:space="preserve"> </w:t>
      </w:r>
      <w:r>
        <w:rPr>
          <w:rFonts w:hint="default" w:ascii="Times New Roman" w:hAnsi="Times New Roman"/>
          <w:sz w:val="20"/>
          <w:szCs w:val="20"/>
          <w:lang w:val="en-US" w:eastAsia="zh-CN"/>
        </w:rPr>
        <w:t xml:space="preserve"> </w:t>
      </w:r>
    </w:p>
    <w:p>
      <w:pPr>
        <w:spacing w:before="120" w:beforeLines="50" w:after="120" w:afterLines="50"/>
        <w:rPr>
          <w:rFonts w:hint="eastAsia" w:ascii="Times New Roman" w:hAnsi="Times New Roman" w:cs="Times New Roman"/>
          <w:b/>
          <w:bCs/>
          <w:sz w:val="20"/>
          <w:szCs w:val="20"/>
        </w:rPr>
      </w:pPr>
      <w:r>
        <w:rPr>
          <w:rFonts w:hint="default" w:ascii="Times New Roman" w:hAnsi="Times New Roman" w:eastAsia="Calibri"/>
          <w:b/>
          <w:bCs/>
          <w:sz w:val="20"/>
          <w:szCs w:val="20"/>
          <w:lang w:val="en-US"/>
        </w:rPr>
        <w:t xml:space="preserve">Proposal 1. </w:t>
      </w:r>
      <w:r>
        <w:rPr>
          <w:rFonts w:ascii="Times New Roman" w:hAnsi="Times New Roman" w:eastAsia="Calibri"/>
          <w:b/>
          <w:bCs/>
          <w:sz w:val="20"/>
          <w:szCs w:val="20"/>
          <w:lang w:val="en-US"/>
        </w:rPr>
        <w:t xml:space="preserve">For NB-IoT NTN and </w:t>
      </w:r>
      <w:r>
        <w:rPr>
          <w:rFonts w:ascii="Times New Roman" w:hAnsi="Times New Roman" w:eastAsia="Calibri"/>
          <w:b/>
          <w:bCs/>
          <w:sz w:val="20"/>
          <w:szCs w:val="20"/>
          <w:lang w:val="en-US" w:eastAsia="zh-CN"/>
        </w:rPr>
        <w:t>eMTC NTN for CE Mode B</w:t>
      </w:r>
      <w:r>
        <w:rPr>
          <w:rFonts w:ascii="Times New Roman" w:hAnsi="Times New Roman" w:eastAsia="Calibri"/>
          <w:b/>
          <w:bCs/>
          <w:sz w:val="20"/>
          <w:szCs w:val="20"/>
          <w:lang w:val="en-US"/>
        </w:rPr>
        <w:t>,</w:t>
      </w:r>
      <w:r>
        <w:rPr>
          <w:rFonts w:hint="default" w:ascii="Times New Roman" w:hAnsi="Times New Roman" w:eastAsia="Calibri"/>
          <w:b/>
          <w:bCs/>
          <w:sz w:val="20"/>
          <w:szCs w:val="20"/>
          <w:lang w:val="en-US"/>
        </w:rPr>
        <w:t xml:space="preserve"> to configure/indicate enabling/disabling of HARQ feedback for downlink transmission, DCI-based overridden mechanism can be applied to both semi-statically HARQ enabled and disabled processes.</w:t>
      </w:r>
    </w:p>
    <w:p>
      <w:pPr>
        <w:spacing w:before="120" w:beforeLines="50" w:after="120" w:afterLines="50"/>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the detailed configuration of indication in DCI</w:t>
      </w:r>
      <w:r>
        <w:rPr>
          <w:rFonts w:hint="default" w:ascii="Times New Roman" w:hAnsi="Times New Roman" w:cs="Times New Roman"/>
          <w:sz w:val="20"/>
          <w:szCs w:val="20"/>
          <w:lang w:val="en-US" w:eastAsia="zh-CN"/>
        </w:rPr>
        <w:t xml:space="preserve"> to indicate the enabled/disabled HARQ feedback, we prefer not to introduce additional DCI field to to minimize the standard impact. Considering the limited number of HARQ process of NB-IoT NTN and eMTC NTN for CE Mode B, i.e., one or two HARQ process, it is reasonable to reinterpret the existing DCI filed, such as HARQ-ACK resource field in DCI format N1 to indicate enabling/disabling of HARQ feedback for NB IoT NTN. If the RRC signalling indicates to enable the DCI-based mechanism, then one of the value in the existing HARQ-ACK resource field can be predefined to indicate enabling/disabling of HARQ feedback for the HARQ process. Otherwise, the DCI field is used as the legacy manner.</w:t>
      </w:r>
    </w:p>
    <w:p>
      <w:pPr>
        <w:spacing w:before="120" w:beforeLines="50" w:after="120" w:afterLines="50"/>
        <w:rPr>
          <w:rFonts w:hint="default" w:eastAsia="宋体"/>
          <w:sz w:val="22"/>
          <w:szCs w:val="22"/>
          <w:lang w:val="en-US" w:eastAsia="zh-CN"/>
        </w:rPr>
      </w:pPr>
      <w:r>
        <w:rPr>
          <w:rFonts w:hint="default" w:ascii="Times New Roman" w:hAnsi="Times New Roman" w:eastAsia="Calibri"/>
          <w:b/>
          <w:bCs/>
          <w:sz w:val="20"/>
          <w:szCs w:val="20"/>
          <w:lang w:val="en-US"/>
        </w:rPr>
        <w:t xml:space="preserve">Proposal 2. When </w:t>
      </w:r>
      <w:r>
        <w:rPr>
          <w:rFonts w:hint="eastAsia" w:ascii="Times New Roman" w:hAnsi="Times New Roman" w:eastAsia="Calibri"/>
          <w:b/>
          <w:bCs/>
          <w:sz w:val="20"/>
          <w:szCs w:val="20"/>
          <w:lang w:val="en-US"/>
        </w:rPr>
        <w:t xml:space="preserve">DCI-based overridden mechanism is </w:t>
      </w:r>
      <w:r>
        <w:rPr>
          <w:rFonts w:hint="default" w:ascii="Times New Roman" w:hAnsi="Times New Roman" w:eastAsia="Calibri"/>
          <w:b/>
          <w:bCs/>
          <w:sz w:val="20"/>
          <w:szCs w:val="20"/>
          <w:lang w:val="en-US"/>
        </w:rPr>
        <w:t xml:space="preserve">enabled by RRC signalling, the existing DCI field, such as the indicator in HARQ-ACK resource field, can be reinterpreted to indicate the enabling/disabling of HARQ feedback for the HARQ process.  </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2.2 (N)PDSCH/(N)PDCCH scheduling restriction</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NPDSCH scheduling restriction in NB-IoT NTN was discussed during previous RAN1 meetings,</w:t>
      </w:r>
      <w:r>
        <w:rPr>
          <w:rFonts w:ascii="Times New Roman" w:hAnsi="Times New Roman" w:cs="Times New Roman"/>
          <w:sz w:val="20"/>
          <w:szCs w:val="20"/>
        </w:rPr>
        <w:t xml:space="preserve"> </w:t>
      </w:r>
      <w:r>
        <w:rPr>
          <w:rFonts w:hint="default" w:ascii="Times New Roman" w:hAnsi="Times New Roman" w:cs="Times New Roman"/>
          <w:sz w:val="20"/>
          <w:szCs w:val="20"/>
          <w:lang w:val="en-US"/>
        </w:rPr>
        <w:t>and it is agreed that for a DL HARQ process with disabled HARQ feedback in NB-IoT, UE is not required to monitor NPDCCH in a period of Y=12(ms) from the end of reception of the NPDSCH.</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lang w:val="en-US"/>
        </w:rPr>
      </w:pPr>
      <w:r>
        <w:rPr>
          <w:rFonts w:hint="default" w:ascii="Times New Roman" w:hAnsi="Times New Roman" w:cs="Times New Roman"/>
          <w:bCs/>
          <w:sz w:val="20"/>
          <w:szCs w:val="20"/>
          <w:lang w:val="en-US"/>
        </w:rPr>
        <w:t xml:space="preserve">The </w:t>
      </w:r>
      <w:r>
        <w:rPr>
          <w:rFonts w:ascii="Times New Roman" w:hAnsi="Times New Roman" w:cs="Times New Roman"/>
          <w:bCs/>
          <w:sz w:val="20"/>
          <w:szCs w:val="20"/>
        </w:rPr>
        <w:t>PDSCH/P</w:t>
      </w:r>
      <w:r>
        <w:rPr>
          <w:rFonts w:hint="default" w:ascii="Times New Roman" w:hAnsi="Times New Roman" w:cs="Times New Roman"/>
          <w:bCs/>
          <w:sz w:val="20"/>
          <w:szCs w:val="20"/>
          <w:lang w:val="en-US"/>
        </w:rPr>
        <w:t>DCC</w:t>
      </w:r>
      <w:r>
        <w:rPr>
          <w:rFonts w:ascii="Times New Roman" w:hAnsi="Times New Roman" w:cs="Times New Roman"/>
          <w:bCs/>
          <w:sz w:val="20"/>
          <w:szCs w:val="20"/>
        </w:rPr>
        <w:t>H scheduling restriction</w:t>
      </w:r>
      <w:r>
        <w:rPr>
          <w:rFonts w:hint="default" w:ascii="Times New Roman" w:hAnsi="Times New Roman" w:cs="Times New Roman"/>
          <w:bCs/>
          <w:sz w:val="20"/>
          <w:szCs w:val="20"/>
          <w:lang w:val="en-US"/>
        </w:rPr>
        <w:t xml:space="preserve"> in eMTC NTN also needs to be studied by considering eMTC UE characteristics. </w:t>
      </w:r>
      <w:r>
        <w:rPr>
          <w:rFonts w:hint="default" w:ascii="Times New Roman" w:hAnsi="Times New Roman" w:cs="Times New Roman"/>
          <w:sz w:val="20"/>
          <w:szCs w:val="20"/>
          <w:lang w:val="en-US"/>
        </w:rPr>
        <w:t>The PDSCH scheduling restriction has been discussed in NR NTN and s</w:t>
      </w:r>
      <w:r>
        <w:rPr>
          <w:rFonts w:hint="eastAsia" w:ascii="Times New Roman" w:hAnsi="Times New Roman" w:cs="Times New Roman"/>
          <w:sz w:val="20"/>
          <w:szCs w:val="20"/>
        </w:rPr>
        <w:t>e</w:t>
      </w:r>
      <w:r>
        <w:rPr>
          <w:rFonts w:ascii="Times New Roman" w:hAnsi="Times New Roman" w:cs="Times New Roman"/>
          <w:sz w:val="20"/>
          <w:szCs w:val="20"/>
        </w:rPr>
        <w:t xml:space="preserve">veral agreements </w:t>
      </w:r>
      <w:r>
        <w:rPr>
          <w:rFonts w:ascii="Times New Roman" w:hAnsi="Times New Roman" w:eastAsia="MS Gothic" w:cs="Times New Roman"/>
          <w:sz w:val="21"/>
          <w:szCs w:val="22"/>
        </w:rPr>
        <w:t>for NTN</w:t>
      </w:r>
      <w:r>
        <w:rPr>
          <w:rFonts w:hint="default" w:ascii="Times New Roman" w:hAnsi="Times New Roman" w:cs="Times New Roman"/>
          <w:bCs/>
          <w:iCs/>
          <w:sz w:val="20"/>
          <w:szCs w:val="20"/>
          <w:lang w:val="en-US"/>
        </w:rPr>
        <w:t xml:space="preserve"> </w:t>
      </w:r>
      <w:r>
        <w:rPr>
          <w:rFonts w:ascii="Times New Roman" w:hAnsi="Times New Roman" w:cs="Times New Roman"/>
          <w:sz w:val="20"/>
          <w:szCs w:val="20"/>
        </w:rPr>
        <w:t>were achieved</w:t>
      </w:r>
      <w:r>
        <w:rPr>
          <w:rFonts w:hint="default" w:ascii="Times New Roman" w:hAnsi="Times New Roman" w:cs="Times New Roman"/>
          <w:sz w:val="20"/>
          <w:szCs w:val="20"/>
          <w:lang w:val="en-US"/>
        </w:rPr>
        <w:t xml:space="preserve"> as follows [3].</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4" w:type="dxa"/>
            <w:vAlign w:val="top"/>
          </w:tcPr>
          <w:p>
            <w:pPr>
              <w:keepNext w:val="0"/>
              <w:keepLines w:val="0"/>
              <w:pageBreakBefore w:val="0"/>
              <w:numPr>
                <w:ilvl w:val="1"/>
                <w:numId w:val="0"/>
              </w:numPr>
              <w:kinsoku/>
              <w:wordWrap/>
              <w:overflowPunct/>
              <w:topLinePunct w:val="0"/>
              <w:autoSpaceDE/>
              <w:autoSpaceDN/>
              <w:bidi w:val="0"/>
              <w:adjustRightInd/>
              <w:snapToGrid/>
              <w:spacing w:before="0" w:beforeLines="50" w:after="0" w:afterLines="50"/>
              <w:jc w:val="left"/>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RAN1#104-e </w:t>
            </w:r>
            <w:r>
              <w:rPr>
                <w:rFonts w:hint="eastAsia" w:ascii="Times New Roman" w:hAnsi="Times New Roman" w:eastAsia="MS Mincho" w:cs="Times New Roman"/>
                <w:b/>
                <w:bCs/>
                <w:kern w:val="0"/>
                <w:sz w:val="20"/>
                <w:szCs w:val="20"/>
                <w:highlight w:val="green"/>
                <w:lang w:eastAsia="en-US"/>
              </w:rPr>
              <w:t>Agreement</w:t>
            </w:r>
          </w:p>
          <w:p>
            <w:pPr>
              <w:keepLines w:val="0"/>
              <w:pageBreakBefore w:val="0"/>
              <w:kinsoku/>
              <w:wordWrap/>
              <w:overflowPunct/>
              <w:topLinePunct w:val="0"/>
              <w:autoSpaceDE/>
              <w:autoSpaceDN/>
              <w:bidi w:val="0"/>
              <w:adjustRightInd/>
              <w:snapToGrid/>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Working assumption: X = T_proc,1</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FFS: Whether X should be changed to X = max(T_proc,1, K1) where K1 is the minimum k1 if it is configured, otherwise k1 = 0</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Note: The TB of the two PDSCHs can be either same or different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lang w:eastAsia="zh-CN"/>
              </w:rPr>
            </w:pPr>
            <w:r>
              <w:rPr>
                <w:rFonts w:hint="default" w:ascii="Times New Roman" w:hAnsi="Times New Roman" w:eastAsia="MS Mincho" w:cs="Times New Roman"/>
                <w:b/>
                <w:bCs/>
                <w:kern w:val="0"/>
                <w:sz w:val="20"/>
                <w:szCs w:val="20"/>
                <w:highlight w:val="green"/>
                <w:lang w:val="en-US" w:eastAsia="zh-CN"/>
              </w:rPr>
              <w:t>RAN1#105-e 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9"/>
              <w:rPr>
                <w:rFonts w:hint="default" w:ascii="Times New Roman" w:hAnsi="Times New Roman" w:eastAsia="MS Mincho" w:cs="Times New Roman"/>
                <w:b w:val="0"/>
                <w:bCs w:val="0"/>
                <w:kern w:val="0"/>
                <w:sz w:val="20"/>
                <w:szCs w:val="20"/>
                <w:lang w:val="en-US" w:eastAsia="en-US"/>
              </w:rPr>
            </w:pPr>
            <w:r>
              <w:rPr>
                <w:rFonts w:hint="eastAsia" w:ascii="Times New Roman" w:hAnsi="Times New Roman" w:eastAsia="MS Mincho" w:cs="Times New Roman"/>
                <w:b w:val="0"/>
                <w:bCs w:val="0"/>
                <w:kern w:val="0"/>
                <w:sz w:val="20"/>
                <w:szCs w:val="20"/>
                <w:lang w:eastAsia="zh-CN"/>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bl>
    <w:p>
      <w:pPr>
        <w:keepNext w:val="0"/>
        <w:keepLines w:val="0"/>
        <w:pageBreakBefore w:val="0"/>
        <w:widowControl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Cs/>
          <w:iCs/>
          <w:sz w:val="20"/>
          <w:szCs w:val="20"/>
          <w:lang w:val="en-US"/>
        </w:rPr>
      </w:pPr>
      <w:r>
        <w:rPr>
          <w:rFonts w:hint="default" w:ascii="Times New Roman" w:hAnsi="Times New Roman" w:eastAsia="宋体" w:cs="Times New Roman"/>
          <w:sz w:val="20"/>
          <w:szCs w:val="20"/>
          <w:lang w:val="en-US"/>
        </w:rPr>
        <w:t xml:space="preserve">Considering the PDSCH/MPDCCH scheduling restriction for eMTC NTN </w:t>
      </w:r>
      <w:bookmarkStart w:id="19" w:name="_GoBack"/>
      <w:bookmarkEnd w:id="19"/>
      <w:r>
        <w:rPr>
          <w:rFonts w:hint="default" w:ascii="Times New Roman" w:hAnsi="Times New Roman" w:eastAsia="宋体" w:cs="Times New Roman"/>
          <w:sz w:val="20"/>
          <w:szCs w:val="20"/>
          <w:lang w:val="en-US"/>
        </w:rPr>
        <w:t>UEs</w:t>
      </w:r>
      <w:r>
        <w:rPr>
          <w:rFonts w:hint="default" w:ascii="Times New Roman" w:hAnsi="Times New Roman" w:cs="Times New Roman"/>
          <w:sz w:val="20"/>
          <w:szCs w:val="20"/>
          <w:lang w:val="en-US"/>
        </w:rPr>
        <w:t>, f</w:t>
      </w:r>
      <w:r>
        <w:rPr>
          <w:rFonts w:hint="default" w:ascii="Times New Roman" w:hAnsi="Times New Roman" w:cs="Times New Roman"/>
          <w:bCs/>
          <w:iCs/>
          <w:sz w:val="20"/>
          <w:szCs w:val="20"/>
          <w:lang w:val="en-US"/>
        </w:rPr>
        <w:t xml:space="preserve">rom our perspective, the restriction of receiving another PDCCH after the last PDSCH agreed in Rel-17 NR NTN can be </w:t>
      </w:r>
      <w:r>
        <w:rPr>
          <w:rFonts w:hint="eastAsia" w:ascii="Times New Roman" w:hAnsi="Times New Roman" w:eastAsia="宋体" w:cs="Times New Roman"/>
          <w:sz w:val="20"/>
          <w:szCs w:val="20"/>
        </w:rPr>
        <w:t>considered as baseline</w:t>
      </w:r>
      <w:r>
        <w:rPr>
          <w:rFonts w:hint="default" w:ascii="Times New Roman" w:hAnsi="Times New Roman" w:eastAsia="宋体" w:cs="Times New Roman"/>
          <w:sz w:val="20"/>
          <w:szCs w:val="20"/>
          <w:lang w:val="en-US"/>
        </w:rPr>
        <w:t xml:space="preserve">, and it is clarified that the minimum gap between the end of PDSCH and the start of corresponding HARQ-ACK is 3 ms for eMTC, the 3 ms gap value can be considered for the restriction in eMTC NTN. Therefore, the restriction can be imposed to eMTC UE in NTN not to receive </w:t>
      </w:r>
      <w:r>
        <w:rPr>
          <w:rFonts w:hint="default" w:ascii="Times New Roman" w:hAnsi="Times New Roman" w:cs="Times New Roman"/>
          <w:sz w:val="20"/>
          <w:szCs w:val="20"/>
          <w:lang w:val="en-US" w:eastAsia="zh-CN"/>
        </w:rPr>
        <w:t>another MPDCCH carrying a DCI scheduling a PDSCH for a given HARQ process that starts until 3(ms) after the end of the reception of the last PDSCH for that HARQ process.</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
          <w:i w:val="0"/>
          <w:iCs/>
          <w:sz w:val="20"/>
          <w:szCs w:val="20"/>
          <w:u w:val="none"/>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 xml:space="preserve">3. For a DL HARQ process with disabled HARQ feedback in eMTC, UE is not expected to receive another MPDCCH carrying a DCI scheduling a PDSCH for a given HARQ process that starts until 3 ms after the end of the reception of the last PDSCH for that HARQ process. </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2"/>
          <w:szCs w:val="28"/>
          <w:lang w:val="en-US"/>
        </w:rPr>
      </w:pPr>
      <w:r>
        <w:rPr>
          <w:rFonts w:hint="default"/>
          <w:b/>
          <w:bCs/>
          <w:sz w:val="22"/>
          <w:szCs w:val="28"/>
          <w:lang w:val="en-US"/>
        </w:rPr>
        <w:t>2.3 SPS PDSCH</w:t>
      </w:r>
    </w:p>
    <w:p>
      <w:pPr>
        <w:pStyle w:val="112"/>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both"/>
        <w:textAlignment w:val="auto"/>
        <w:rPr>
          <w:rFonts w:hint="default"/>
          <w:lang w:val="en-US"/>
        </w:rPr>
      </w:pPr>
      <w:r>
        <w:rPr>
          <w:rFonts w:hint="default"/>
          <w:sz w:val="20"/>
          <w:szCs w:val="20"/>
          <w:lang w:val="en-US" w:eastAsia="zh-CN"/>
        </w:rPr>
        <w:t>The</w:t>
      </w:r>
      <w:r>
        <w:rPr>
          <w:sz w:val="20"/>
          <w:szCs w:val="20"/>
          <w:lang w:eastAsia="zh-CN"/>
        </w:rPr>
        <w:t xml:space="preserve"> configuration of HARQ feedback enabling/disabling for SPS PDSCH </w:t>
      </w:r>
      <w:r>
        <w:rPr>
          <w:rFonts w:hint="default"/>
          <w:sz w:val="20"/>
          <w:szCs w:val="20"/>
          <w:lang w:val="en-US" w:eastAsia="zh-CN"/>
        </w:rPr>
        <w:t>also needs to be discussed for IoT</w:t>
      </w:r>
      <w:r>
        <w:rPr>
          <w:sz w:val="20"/>
          <w:szCs w:val="20"/>
          <w:lang w:eastAsia="zh-CN"/>
        </w:rPr>
        <w:t xml:space="preserve"> NTN. </w:t>
      </w:r>
      <w:r>
        <w:rPr>
          <w:rFonts w:hint="default"/>
          <w:sz w:val="20"/>
          <w:szCs w:val="20"/>
          <w:lang w:val="en-US" w:eastAsia="zh-CN"/>
        </w:rPr>
        <w:t xml:space="preserve">This issue also has been discussed in Rel-17 NR NTN, and </w:t>
      </w:r>
      <w:r>
        <w:rPr>
          <w:rFonts w:hint="default" w:ascii="Times New Roman" w:hAnsi="Times New Roman" w:eastAsia="宋体" w:cs="Times New Roman"/>
          <w:sz w:val="20"/>
          <w:szCs w:val="20"/>
          <w:lang w:val="en-US"/>
        </w:rPr>
        <w:t>t</w:t>
      </w:r>
      <w:r>
        <w:rPr>
          <w:rFonts w:hint="eastAsia" w:ascii="Times New Roman" w:hAnsi="Times New Roman" w:eastAsia="宋体" w:cs="Times New Roman"/>
          <w:sz w:val="20"/>
          <w:szCs w:val="20"/>
        </w:rPr>
        <w:t xml:space="preserve">he agreed </w:t>
      </w:r>
      <w:r>
        <w:rPr>
          <w:rFonts w:hint="default" w:ascii="Times New Roman" w:hAnsi="Times New Roman" w:eastAsia="宋体" w:cs="Times New Roman"/>
          <w:sz w:val="20"/>
          <w:szCs w:val="20"/>
          <w:lang w:val="en-US"/>
        </w:rPr>
        <w:t>configuration</w:t>
      </w:r>
      <w:r>
        <w:rPr>
          <w:rFonts w:hint="eastAsia"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of SPS PDSCH in Rel-17 NR NTN are shown as following</w:t>
      </w:r>
      <w:r>
        <w:rPr>
          <w:rFonts w:hint="default" w:eastAsia="宋体" w:cs="Times New Roman"/>
          <w:sz w:val="20"/>
          <w:szCs w:val="20"/>
          <w:lang w:val="en-US"/>
        </w:rPr>
        <w:t xml:space="preserve"> [3]</w:t>
      </w:r>
      <w:r>
        <w:rPr>
          <w:rFonts w:hint="eastAsia" w:ascii="Times New Roman" w:hAnsi="Times New Roman" w:eastAsia="宋体" w:cs="Times New Roman"/>
          <w:sz w:val="20"/>
          <w:szCs w:val="20"/>
        </w:rPr>
        <w:t>.</w:t>
      </w:r>
    </w:p>
    <w:tbl>
      <w:tblPr>
        <w:tblStyle w:val="44"/>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70" w:type="dxa"/>
            <w:vAlign w:val="top"/>
          </w:tcPr>
          <w:p>
            <w:pPr>
              <w:keepNext w:val="0"/>
              <w:keepLines w:val="0"/>
              <w:pageBreakBefore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RAN1#107-e </w:t>
            </w:r>
            <w:r>
              <w:rPr>
                <w:rFonts w:hint="eastAsia" w:ascii="Times New Roman" w:hAnsi="Times New Roman" w:eastAsia="MS Mincho" w:cs="Times New Roman"/>
                <w:b/>
                <w:bCs/>
                <w:kern w:val="0"/>
                <w:sz w:val="20"/>
                <w:szCs w:val="20"/>
                <w:highlight w:val="green"/>
                <w:lang w:eastAsia="en-US"/>
              </w:rPr>
              <w:t>Agreement</w:t>
            </w:r>
          </w:p>
          <w:p>
            <w:pPr>
              <w:keepLines w:val="0"/>
              <w:pageBreakBefore w:val="0"/>
              <w:kinsoku/>
              <w:wordWrap/>
              <w:overflowPunct/>
              <w:topLinePunct w:val="0"/>
              <w:autoSpaceDE/>
              <w:autoSpaceDN/>
              <w:bidi w:val="0"/>
              <w:adjustRightInd/>
              <w:snapToGrid/>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HARQ feedback for SPS activation may be additionally enabled by the network by RRC configuration.</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839" w:leftChars="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If enabled, UE reports ACK/NACK for the first SPS PDSCH after activation, regardless of whether HARQ feedback is enabled or disabled corresponding to the first SPS PDSCH after activation</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839" w:leftChars="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 xml:space="preserve">Otherwise, UE follows configuration of HARQ feedback enabled/disabled corresponding to the first SPS PDSCH after activation, </w:t>
            </w:r>
          </w:p>
          <w:p>
            <w:pPr>
              <w:numPr>
                <w:ilvl w:val="1"/>
                <w:numId w:val="16"/>
              </w:numPr>
              <w:spacing w:after="0"/>
              <w:ind w:left="125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between Alt1 and Alt2</w:t>
            </w:r>
          </w:p>
          <w:p>
            <w:pPr>
              <w:numPr>
                <w:ilvl w:val="2"/>
                <w:numId w:val="17"/>
              </w:numPr>
              <w:spacing w:after="0"/>
              <w:ind w:left="1678"/>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eastAsia="zh-CN"/>
              </w:rPr>
              <w:t>[Alt-1: UE follows the per-process configuration of HARQ feedback enabled/disabled for the associated HARQ process</w:t>
            </w:r>
          </w:p>
          <w:p>
            <w:pPr>
              <w:numPr>
                <w:ilvl w:val="2"/>
                <w:numId w:val="17"/>
              </w:numPr>
              <w:spacing w:after="0"/>
              <w:ind w:left="1678"/>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eastAsia="zh-CN"/>
              </w:rPr>
              <w:t>Alt-2: UE follows the feedback-enabled/disabled configuration of the SPS PDSCH]</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RAN1#108-e </w:t>
            </w:r>
            <w:r>
              <w:rPr>
                <w:rFonts w:hint="eastAsia" w:ascii="Times New Roman" w:hAnsi="Times New Roman" w:eastAsia="MS Mincho" w:cs="Times New Roman"/>
                <w:b/>
                <w:bCs/>
                <w:kern w:val="0"/>
                <w:sz w:val="20"/>
                <w:szCs w:val="20"/>
                <w:highlight w:val="green"/>
                <w:lang w:eastAsia="en-US"/>
              </w:rPr>
              <w:t>Agreement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lang w:val="en-US" w:eastAsia="en-US"/>
              </w:rPr>
            </w:pPr>
            <w:r>
              <w:rPr>
                <w:rFonts w:hint="default" w:ascii="Times New Roman" w:hAnsi="Times New Roman" w:eastAsia="MS Mincho" w:cs="Times New Roman"/>
                <w:b w:val="0"/>
                <w:bCs w:val="0"/>
                <w:kern w:val="0"/>
                <w:sz w:val="20"/>
                <w:szCs w:val="20"/>
                <w:lang w:eastAsia="en-US"/>
              </w:rPr>
              <w:t>For HARQ feedback of each SPS PDSCH, UE follows the per-process configuration of HARQ feedback enabled/disabled for the associated HARQ process, except for the first SPS PDSCH after activation if HARQ feedback for SPS activation is additionally enabled.</w:t>
            </w:r>
          </w:p>
        </w:tc>
      </w:tr>
    </w:tbl>
    <w:p>
      <w:pPr>
        <w:pStyle w:val="112"/>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both"/>
        <w:textAlignment w:val="auto"/>
        <w:rPr>
          <w:rFonts w:hint="default" w:cs="Times New Roman"/>
          <w:bCs/>
          <w:sz w:val="20"/>
          <w:szCs w:val="20"/>
          <w:lang w:val="en-US"/>
        </w:rPr>
      </w:pPr>
      <w:r>
        <w:rPr>
          <w:rFonts w:hint="default" w:cs="Times New Roman"/>
          <w:bCs/>
          <w:sz w:val="20"/>
          <w:szCs w:val="20"/>
          <w:lang w:val="en-US"/>
        </w:rPr>
        <w:t>Considering the configuration of SPS PDSCH transmission in IoT NTN, it is preferred</w:t>
      </w:r>
      <w:r>
        <w:rPr>
          <w:rFonts w:cs="Times New Roman"/>
          <w:bCs/>
          <w:sz w:val="20"/>
          <w:szCs w:val="20"/>
        </w:rPr>
        <w:t xml:space="preserve"> to </w:t>
      </w:r>
      <w:r>
        <w:rPr>
          <w:rFonts w:hint="default" w:cs="Times New Roman"/>
          <w:bCs/>
          <w:sz w:val="20"/>
          <w:szCs w:val="20"/>
          <w:lang w:val="en-US"/>
        </w:rPr>
        <w:t>reuse t</w:t>
      </w:r>
      <w:r>
        <w:rPr>
          <w:rFonts w:hint="eastAsia" w:ascii="Times New Roman" w:hAnsi="Times New Roman" w:eastAsia="宋体" w:cs="Times New Roman"/>
          <w:sz w:val="20"/>
          <w:szCs w:val="20"/>
        </w:rPr>
        <w:t xml:space="preserve">he agreed </w:t>
      </w:r>
      <w:r>
        <w:rPr>
          <w:rFonts w:hint="default" w:ascii="Times New Roman" w:hAnsi="Times New Roman" w:eastAsia="宋体" w:cs="Times New Roman"/>
          <w:sz w:val="20"/>
          <w:szCs w:val="20"/>
          <w:lang w:val="en-US"/>
        </w:rPr>
        <w:t>configuration</w:t>
      </w:r>
      <w:r>
        <w:rPr>
          <w:rFonts w:hint="eastAsia"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rPr>
        <w:t>of SPS PDSCH in Rel-17 NR NTN</w:t>
      </w:r>
      <w:r>
        <w:rPr>
          <w:rFonts w:hint="default" w:eastAsia="宋体" w:cs="Times New Roman"/>
          <w:sz w:val="20"/>
          <w:szCs w:val="20"/>
          <w:lang w:val="en-US"/>
        </w:rPr>
        <w:t>. That is the per HARQ process configuration can be used.</w:t>
      </w:r>
    </w:p>
    <w:p>
      <w:pPr>
        <w:rPr>
          <w:rFonts w:hint="default" w:ascii="Times New Roman" w:hAnsi="Times New Roman" w:eastAsia="MS Mincho" w:cs="Times New Roman"/>
          <w:b/>
          <w:bCs/>
          <w:kern w:val="0"/>
          <w:sz w:val="20"/>
          <w:szCs w:val="20"/>
          <w:lang w:eastAsia="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4.</w:t>
      </w:r>
      <w:r>
        <w:rPr>
          <w:rFonts w:ascii="Times New Roman" w:hAnsi="Times New Roman" w:cs="Times New Roman"/>
          <w:bCs/>
          <w:i w:val="0"/>
          <w:iCs/>
          <w:sz w:val="20"/>
          <w:szCs w:val="20"/>
          <w:u w:val="none"/>
        </w:rPr>
        <w:t xml:space="preserve"> </w:t>
      </w:r>
      <w:r>
        <w:rPr>
          <w:rFonts w:hint="default" w:ascii="Times New Roman" w:hAnsi="Times New Roman" w:eastAsia="MS Mincho" w:cs="Times New Roman"/>
          <w:b/>
          <w:bCs/>
          <w:kern w:val="0"/>
          <w:sz w:val="20"/>
          <w:szCs w:val="20"/>
          <w:lang w:eastAsia="en-US"/>
        </w:rPr>
        <w:t>For HARQ feedback of each SPS PDSCH</w:t>
      </w:r>
      <w:r>
        <w:rPr>
          <w:rFonts w:hint="default" w:ascii="Times New Roman" w:hAnsi="Times New Roman" w:eastAsia="MS Mincho" w:cs="Times New Roman"/>
          <w:b/>
          <w:bCs/>
          <w:kern w:val="0"/>
          <w:sz w:val="20"/>
          <w:szCs w:val="20"/>
          <w:lang w:val="en-US" w:eastAsia="en-US"/>
        </w:rPr>
        <w:t xml:space="preserve"> in IoT NTN</w:t>
      </w:r>
      <w:r>
        <w:rPr>
          <w:rFonts w:hint="default" w:ascii="Times New Roman" w:hAnsi="Times New Roman" w:eastAsia="MS Mincho" w:cs="Times New Roman"/>
          <w:b/>
          <w:bCs/>
          <w:kern w:val="0"/>
          <w:sz w:val="20"/>
          <w:szCs w:val="20"/>
          <w:lang w:eastAsia="en-US"/>
        </w:rPr>
        <w:t>, UE follows the per-process configuration of HARQ feedback enabled/disabled for the associated HARQ process, except for the first SPS PDSCH after activation if HARQ feedback for SPS activation is additionally enabled.</w:t>
      </w:r>
    </w:p>
    <w:bookmarkEnd w:id="4"/>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hint="default" w:ascii="Times New Roman" w:hAnsi="Times New Roman" w:cs="Times New Roman"/>
          <w:bCs/>
          <w:iCs/>
          <w:sz w:val="20"/>
          <w:szCs w:val="20"/>
          <w:lang w:val="en-US"/>
        </w:rPr>
        <w:t xml:space="preserve">the issues of </w:t>
      </w:r>
      <w:r>
        <w:rPr>
          <w:rFonts w:ascii="Times New Roman" w:hAnsi="Times New Roman" w:cs="Times New Roman"/>
          <w:bCs/>
          <w:iCs/>
          <w:sz w:val="20"/>
          <w:szCs w:val="20"/>
        </w:rPr>
        <w:t>disabling</w:t>
      </w:r>
      <w:r>
        <w:rPr>
          <w:rFonts w:hint="default" w:ascii="Times New Roman" w:hAnsi="Times New Roman" w:cs="Times New Roman"/>
          <w:bCs/>
          <w:iCs/>
          <w:sz w:val="20"/>
          <w:szCs w:val="20"/>
          <w:lang w:val="en-US"/>
        </w:rPr>
        <w:t xml:space="preserve"> of</w:t>
      </w:r>
      <w:r>
        <w:rPr>
          <w:rFonts w:ascii="Times New Roman" w:hAnsi="Times New Roman" w:cs="Times New Roman"/>
          <w:bCs/>
          <w:iCs/>
          <w:sz w:val="20"/>
          <w:szCs w:val="20"/>
        </w:rPr>
        <w:t xml:space="preserve"> HARQ feedback</w:t>
      </w:r>
      <w:r>
        <w:rPr>
          <w:rFonts w:hint="default" w:ascii="Times New Roman" w:hAnsi="Times New Roman" w:cs="Times New Roman"/>
          <w:bCs/>
          <w:iCs/>
          <w:sz w:val="20"/>
          <w:szCs w:val="20"/>
          <w:lang w:val="en-US"/>
        </w:rPr>
        <w:t xml:space="preserve"> for IoT NTN</w:t>
      </w:r>
      <w:r>
        <w:rPr>
          <w:rFonts w:ascii="Times New Roman" w:hAnsi="Times New Roman" w:cs="Times New Roman"/>
          <w:sz w:val="20"/>
          <w:szCs w:val="20"/>
          <w:lang w:val="en-GB"/>
        </w:rPr>
        <w:t>. The observations and proposals are summarized as follows:</w:t>
      </w:r>
    </w:p>
    <w:p>
      <w:pPr>
        <w:spacing w:before="120" w:beforeLines="50" w:after="120" w:afterLines="50"/>
        <w:rPr>
          <w:rFonts w:hint="default" w:ascii="Times New Roman" w:hAnsi="Times New Roman" w:eastAsia="Calibri"/>
          <w:b/>
          <w:bCs/>
          <w:sz w:val="20"/>
          <w:szCs w:val="20"/>
          <w:lang w:val="en-US"/>
        </w:rPr>
      </w:pPr>
      <w:r>
        <w:rPr>
          <w:rFonts w:hint="default" w:ascii="Times New Roman" w:hAnsi="Times New Roman" w:eastAsia="Calibri"/>
          <w:b/>
          <w:bCs/>
          <w:sz w:val="20"/>
          <w:szCs w:val="20"/>
          <w:lang w:val="en-US"/>
        </w:rPr>
        <w:t xml:space="preserve">Proposal 1. </w:t>
      </w:r>
      <w:r>
        <w:rPr>
          <w:rFonts w:ascii="Times New Roman" w:hAnsi="Times New Roman" w:eastAsia="Calibri"/>
          <w:b/>
          <w:bCs/>
          <w:sz w:val="20"/>
          <w:szCs w:val="20"/>
          <w:lang w:val="en-US"/>
        </w:rPr>
        <w:t xml:space="preserve">For NB-IoT NTN and </w:t>
      </w:r>
      <w:r>
        <w:rPr>
          <w:rFonts w:ascii="Times New Roman" w:hAnsi="Times New Roman" w:eastAsia="Calibri"/>
          <w:b/>
          <w:bCs/>
          <w:sz w:val="20"/>
          <w:szCs w:val="20"/>
          <w:lang w:val="en-US" w:eastAsia="zh-CN"/>
        </w:rPr>
        <w:t>eMTC NTN for CE Mode B</w:t>
      </w:r>
      <w:r>
        <w:rPr>
          <w:rFonts w:ascii="Times New Roman" w:hAnsi="Times New Roman" w:eastAsia="Calibri"/>
          <w:b/>
          <w:bCs/>
          <w:sz w:val="20"/>
          <w:szCs w:val="20"/>
          <w:lang w:val="en-US"/>
        </w:rPr>
        <w:t>,</w:t>
      </w:r>
      <w:r>
        <w:rPr>
          <w:rFonts w:hint="default" w:ascii="Times New Roman" w:hAnsi="Times New Roman" w:eastAsia="Calibri"/>
          <w:b/>
          <w:bCs/>
          <w:sz w:val="20"/>
          <w:szCs w:val="20"/>
          <w:lang w:val="en-US"/>
        </w:rPr>
        <w:t xml:space="preserve"> to configure/indicate enabling/disabling of HARQ feedback for downlink transmission, DCI-based overridden mechanism can be applied to both semi-statically HARQ enabled and disabled processes.</w:t>
      </w:r>
    </w:p>
    <w:p>
      <w:pPr>
        <w:spacing w:before="120" w:beforeLines="50" w:after="120" w:afterLines="50"/>
        <w:rPr>
          <w:rFonts w:ascii="Times New Roman" w:hAnsi="Times New Roman" w:cs="Times New Roman"/>
          <w:b/>
          <w:i w:val="0"/>
          <w:iCs/>
          <w:sz w:val="20"/>
          <w:szCs w:val="20"/>
          <w:u w:val="none"/>
        </w:rPr>
      </w:pPr>
      <w:r>
        <w:rPr>
          <w:rFonts w:hint="default" w:ascii="Times New Roman" w:hAnsi="Times New Roman" w:eastAsia="Calibri"/>
          <w:b/>
          <w:bCs/>
          <w:sz w:val="20"/>
          <w:szCs w:val="20"/>
          <w:lang w:val="en-US"/>
        </w:rPr>
        <w:t xml:space="preserve">Proposal 2. When </w:t>
      </w:r>
      <w:r>
        <w:rPr>
          <w:rFonts w:hint="eastAsia" w:ascii="Times New Roman" w:hAnsi="Times New Roman" w:eastAsia="Calibri"/>
          <w:b/>
          <w:bCs/>
          <w:sz w:val="20"/>
          <w:szCs w:val="20"/>
          <w:lang w:val="en-US"/>
        </w:rPr>
        <w:t xml:space="preserve">DCI-based overridden mechanism is </w:t>
      </w:r>
      <w:r>
        <w:rPr>
          <w:rFonts w:hint="default" w:ascii="Times New Roman" w:hAnsi="Times New Roman" w:eastAsia="Calibri"/>
          <w:b/>
          <w:bCs/>
          <w:sz w:val="20"/>
          <w:szCs w:val="20"/>
          <w:lang w:val="en-US"/>
        </w:rPr>
        <w:t xml:space="preserve">enabled by RRC signalling, the existing DCI field, such as the indicator in HARQ-ACK resource field, can be reinterpreted to indicate the enabling/disabling of HARQ feedback for the HARQ process.  </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b/>
          <w:bCs w:val="0"/>
          <w:sz w:val="20"/>
          <w:szCs w:val="20"/>
          <w:lang w:val="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 xml:space="preserve">3. For a DL HARQ process with disabled HARQ feedback in eMTC, UE is not expected to receive another MPDCCH carrying a DCI scheduling a PDSCH for a given HARQ process that starts until 3 ms after the end of the reception of the last PDSCH for that HARQ process.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ascii="Times New Roman" w:hAnsi="Times New Roman" w:cs="Times New Roman"/>
          <w:b/>
          <w:i w:val="0"/>
          <w:iCs/>
          <w:sz w:val="20"/>
          <w:szCs w:val="20"/>
          <w:u w:val="none"/>
        </w:rPr>
        <w:t xml:space="preserve">Proposal </w:t>
      </w:r>
      <w:r>
        <w:rPr>
          <w:rFonts w:hint="default" w:ascii="Times New Roman" w:hAnsi="Times New Roman" w:cs="Times New Roman"/>
          <w:b/>
          <w:i w:val="0"/>
          <w:iCs/>
          <w:sz w:val="20"/>
          <w:szCs w:val="20"/>
          <w:u w:val="none"/>
          <w:lang w:val="en-US"/>
        </w:rPr>
        <w:t>4.</w:t>
      </w:r>
      <w:r>
        <w:rPr>
          <w:rFonts w:ascii="Times New Roman" w:hAnsi="Times New Roman" w:cs="Times New Roman"/>
          <w:bCs/>
          <w:i w:val="0"/>
          <w:iCs/>
          <w:sz w:val="20"/>
          <w:szCs w:val="20"/>
          <w:u w:val="none"/>
        </w:rPr>
        <w:t xml:space="preserve"> </w:t>
      </w:r>
      <w:r>
        <w:rPr>
          <w:rFonts w:hint="default" w:ascii="Times New Roman" w:hAnsi="Times New Roman" w:eastAsia="MS Mincho" w:cs="Times New Roman"/>
          <w:b/>
          <w:bCs/>
          <w:kern w:val="0"/>
          <w:sz w:val="20"/>
          <w:szCs w:val="20"/>
          <w:lang w:eastAsia="en-US"/>
        </w:rPr>
        <w:t>For HARQ feedback of each SPS PDSCH</w:t>
      </w:r>
      <w:r>
        <w:rPr>
          <w:rFonts w:hint="default" w:ascii="Times New Roman" w:hAnsi="Times New Roman" w:eastAsia="MS Mincho" w:cs="Times New Roman"/>
          <w:b/>
          <w:bCs/>
          <w:kern w:val="0"/>
          <w:sz w:val="20"/>
          <w:szCs w:val="20"/>
          <w:lang w:val="en-US" w:eastAsia="en-US"/>
        </w:rPr>
        <w:t xml:space="preserve"> in IoT NTN</w:t>
      </w:r>
      <w:r>
        <w:rPr>
          <w:rFonts w:hint="default" w:ascii="Times New Roman" w:hAnsi="Times New Roman" w:eastAsia="MS Mincho" w:cs="Times New Roman"/>
          <w:b/>
          <w:bCs/>
          <w:kern w:val="0"/>
          <w:sz w:val="20"/>
          <w:szCs w:val="20"/>
          <w:lang w:eastAsia="en-US"/>
        </w:rPr>
        <w:t>, UE follows the per-process configuration of HARQ feedback enabled/disabled for the associated HARQ process, except for the first SPS PDSCH after activation if HARQ feedback for SPS activation is additionally enabled.</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References</w:t>
      </w:r>
    </w:p>
    <w:p>
      <w:pPr>
        <w:pStyle w:val="112"/>
        <w:keepLines w:val="0"/>
        <w:pageBreakBefore w:val="0"/>
        <w:numPr>
          <w:ilvl w:val="0"/>
          <w:numId w:val="18"/>
        </w:numPr>
        <w:kinsoku/>
        <w:wordWrap/>
        <w:overflowPunct/>
        <w:topLinePunct w:val="0"/>
        <w:autoSpaceDE/>
        <w:autoSpaceDN/>
        <w:bidi w:val="0"/>
        <w:spacing w:before="0" w:beforeLines="50" w:after="0" w:afterLines="50"/>
        <w:ind w:firstLineChars="0"/>
        <w:textAlignment w:val="auto"/>
        <w:rPr>
          <w:rFonts w:cs="Times New Roman"/>
          <w:sz w:val="20"/>
          <w:szCs w:val="20"/>
        </w:rPr>
      </w:pPr>
      <w:bookmarkStart w:id="5" w:name="_Ref53491160"/>
      <w:bookmarkStart w:id="6" w:name="_Ref71203205"/>
      <w:bookmarkStart w:id="7" w:name="_Ref521313643"/>
      <w:bookmarkStart w:id="8" w:name="_Ref23496549"/>
      <w:bookmarkStart w:id="9" w:name="_Ref521162878"/>
      <w:bookmarkStart w:id="10" w:name="_Ref60817485"/>
      <w:bookmarkStart w:id="11" w:name="_Ref83712416"/>
      <w:bookmarkStart w:id="12" w:name="_Ref78875676"/>
      <w:bookmarkStart w:id="13" w:name="_Ref30757894"/>
      <w:bookmarkStart w:id="14" w:name="_Ref533782101"/>
      <w:bookmarkStart w:id="15" w:name="_Ref505807368"/>
      <w:bookmarkStart w:id="16" w:name="_Ref86784880"/>
      <w:bookmarkStart w:id="17" w:name="_Ref505867252"/>
      <w:bookmarkStart w:id="18" w:name="_Ref53511278"/>
      <w:r>
        <w:rPr>
          <w:rFonts w:hint="eastAsia" w:cs="Times New Roman"/>
          <w:sz w:val="20"/>
          <w:szCs w:val="20"/>
        </w:rPr>
        <w:t>Chairman's Notes RAN1#11</w:t>
      </w:r>
      <w:r>
        <w:rPr>
          <w:rFonts w:hint="default" w:cs="Times New Roman"/>
          <w:sz w:val="20"/>
          <w:szCs w:val="20"/>
          <w:lang w:val="en-US"/>
        </w:rPr>
        <w:t>1.</w:t>
      </w:r>
    </w:p>
    <w:p>
      <w:pPr>
        <w:pStyle w:val="112"/>
        <w:keepLines w:val="0"/>
        <w:pageBreakBefore w:val="0"/>
        <w:numPr>
          <w:ilvl w:val="0"/>
          <w:numId w:val="18"/>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eastAsia" w:cs="Times New Roman"/>
          <w:sz w:val="20"/>
          <w:szCs w:val="20"/>
        </w:rPr>
        <w:t>Chairman's Notes RAN1#110</w:t>
      </w:r>
      <w:r>
        <w:rPr>
          <w:rFonts w:hint="default" w:cs="Times New Roman"/>
          <w:sz w:val="20"/>
          <w:szCs w:val="20"/>
          <w:lang w:val="en-US"/>
        </w:rPr>
        <w:t>bis-e</w:t>
      </w:r>
      <w:r>
        <w:rPr>
          <w:rFonts w:hint="eastAsia" w:cs="Times New Roman"/>
          <w:sz w:val="20"/>
          <w:szCs w:val="20"/>
        </w:rPr>
        <w:t xml:space="preserve">. </w:t>
      </w:r>
    </w:p>
    <w:p>
      <w:pPr>
        <w:pStyle w:val="112"/>
        <w:keepLines w:val="0"/>
        <w:pageBreakBefore w:val="0"/>
        <w:numPr>
          <w:ilvl w:val="0"/>
          <w:numId w:val="18"/>
        </w:numPr>
        <w:kinsoku/>
        <w:wordWrap/>
        <w:overflowPunct/>
        <w:topLinePunct w:val="0"/>
        <w:autoSpaceDE/>
        <w:autoSpaceDN/>
        <w:bidi w:val="0"/>
        <w:spacing w:before="0" w:beforeLines="50" w:after="0" w:afterLines="50"/>
        <w:ind w:firstLineChars="0"/>
        <w:textAlignment w:val="auto"/>
        <w:rPr>
          <w:rFonts w:cs="Times New Roman"/>
          <w:sz w:val="20"/>
          <w:szCs w:val="20"/>
        </w:rPr>
      </w:pPr>
      <w:r>
        <w:rPr>
          <w:rFonts w:hint="default" w:cs="Times New Roman"/>
          <w:sz w:val="20"/>
          <w:szCs w:val="20"/>
          <w:lang w:val="en-US"/>
        </w:rPr>
        <w:t>R1-2202910, “3GPP TSG-RAN WG1 Agreements under 8.4 up to eMeeting RAN1#108-e”, February 21th - March 3rd, 2022.</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keepLines w:val="0"/>
        <w:pageBreakBefore w:val="0"/>
        <w:kinsoku/>
        <w:wordWrap/>
        <w:overflowPunct/>
        <w:topLinePunct w:val="0"/>
        <w:autoSpaceDE/>
        <w:autoSpaceDN/>
        <w:bidi w:val="0"/>
        <w:spacing w:before="0" w:beforeLines="50" w:after="0" w:afterLines="50"/>
        <w:ind w:firstLine="0" w:firstLineChars="0"/>
        <w:textAlignment w:val="auto"/>
        <w:rPr>
          <w:rFonts w:cs="Times New Roman"/>
          <w:sz w:val="20"/>
          <w:szCs w:val="20"/>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leftChars="0" w:hanging="420" w:firstLineChars="0"/>
      </w:pPr>
      <w:rPr>
        <w:rFonts w:hint="default" w:ascii="Wingdings" w:hAnsi="Wingdings"/>
        <w:sz w:val="15"/>
        <w:szCs w:val="15"/>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바탕"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4B80DE9"/>
    <w:multiLevelType w:val="multilevel"/>
    <w:tmpl w:val="14B80DE9"/>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2B36698"/>
    <w:multiLevelType w:val="multilevel"/>
    <w:tmpl w:val="22B36698"/>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Symbol" w:hAnsi="Symbol"/>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7">
    <w:nsid w:val="27C143CE"/>
    <w:multiLevelType w:val="multilevel"/>
    <w:tmpl w:val="27C143CE"/>
    <w:lvl w:ilvl="0" w:tentative="0">
      <w:start w:val="1"/>
      <w:numFmt w:val="bullet"/>
      <w:lvlText w:val=""/>
      <w:lvlJc w:val="left"/>
      <w:pPr>
        <w:ind w:left="780" w:hanging="420"/>
      </w:pPr>
      <w:rPr>
        <w:rFonts w:hint="default" w:ascii="Wingdings" w:hAnsi="Wingdings"/>
      </w:rPr>
    </w:lvl>
    <w:lvl w:ilvl="1" w:tentative="0">
      <w:start w:val="1"/>
      <w:numFmt w:val="bullet"/>
      <w:lvlText w:val="o"/>
      <w:lvlJc w:val="left"/>
      <w:pPr>
        <w:ind w:left="1200" w:hanging="420"/>
      </w:pPr>
      <w:rPr>
        <w:rFonts w:hint="default" w:ascii="Courier New" w:hAnsi="Courier New" w:cs="Courier New"/>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8">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10">
    <w:nsid w:val="396A567F"/>
    <w:multiLevelType w:val="multilevel"/>
    <w:tmpl w:val="396A56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12">
    <w:nsid w:val="43C92DCD"/>
    <w:multiLevelType w:val="multilevel"/>
    <w:tmpl w:val="43C92DCD"/>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4">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7">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5"/>
  </w:num>
  <w:num w:numId="3">
    <w:abstractNumId w:val="1"/>
  </w:num>
  <w:num w:numId="4">
    <w:abstractNumId w:val="9"/>
  </w:num>
  <w:num w:numId="5">
    <w:abstractNumId w:val="16"/>
  </w:num>
  <w:num w:numId="6">
    <w:abstractNumId w:val="17"/>
  </w:num>
  <w:num w:numId="7">
    <w:abstractNumId w:val="11"/>
    <w:lvlOverride w:ilvl="0">
      <w:startOverride w:val="1"/>
    </w:lvlOverride>
  </w:num>
  <w:num w:numId="8">
    <w:abstractNumId w:val="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
  </w:num>
  <w:num w:numId="12">
    <w:abstractNumId w:val="12"/>
  </w:num>
  <w:num w:numId="13">
    <w:abstractNumId w:val="3"/>
  </w:num>
  <w:num w:numId="14">
    <w:abstractNumId w:val="10"/>
  </w:num>
  <w:num w:numId="15">
    <w:abstractNumId w:val="2"/>
  </w:num>
  <w:num w:numId="16">
    <w:abstractNumId w:val="7"/>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D8"/>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630A51"/>
    <w:rsid w:val="03CF7871"/>
    <w:rsid w:val="05CD5ACD"/>
    <w:rsid w:val="0666188F"/>
    <w:rsid w:val="06954B7D"/>
    <w:rsid w:val="06FF2EDB"/>
    <w:rsid w:val="08074226"/>
    <w:rsid w:val="08A17B5A"/>
    <w:rsid w:val="09310529"/>
    <w:rsid w:val="093730A3"/>
    <w:rsid w:val="0A2A1F3F"/>
    <w:rsid w:val="0A6A531A"/>
    <w:rsid w:val="0ABC32A2"/>
    <w:rsid w:val="0B79724C"/>
    <w:rsid w:val="0BEA556C"/>
    <w:rsid w:val="0E334AF2"/>
    <w:rsid w:val="0FC70FC5"/>
    <w:rsid w:val="100735EB"/>
    <w:rsid w:val="10224ED6"/>
    <w:rsid w:val="103C4E3A"/>
    <w:rsid w:val="106F6491"/>
    <w:rsid w:val="12976D2A"/>
    <w:rsid w:val="1320158C"/>
    <w:rsid w:val="142724B5"/>
    <w:rsid w:val="14324336"/>
    <w:rsid w:val="15452111"/>
    <w:rsid w:val="17180409"/>
    <w:rsid w:val="178059F4"/>
    <w:rsid w:val="17B95B2B"/>
    <w:rsid w:val="17F3036B"/>
    <w:rsid w:val="1A3375C4"/>
    <w:rsid w:val="1A4A0FF2"/>
    <w:rsid w:val="1B180E71"/>
    <w:rsid w:val="1CAB7CC7"/>
    <w:rsid w:val="23027CE4"/>
    <w:rsid w:val="23B34DB5"/>
    <w:rsid w:val="262D5BAB"/>
    <w:rsid w:val="26546D6A"/>
    <w:rsid w:val="288C7277"/>
    <w:rsid w:val="29774D0D"/>
    <w:rsid w:val="2A520582"/>
    <w:rsid w:val="2C9C3E76"/>
    <w:rsid w:val="2D5E17CF"/>
    <w:rsid w:val="32365CEB"/>
    <w:rsid w:val="32602CCA"/>
    <w:rsid w:val="33597B4F"/>
    <w:rsid w:val="33E13B6A"/>
    <w:rsid w:val="345D41AD"/>
    <w:rsid w:val="34D50D90"/>
    <w:rsid w:val="353C0870"/>
    <w:rsid w:val="35467EE3"/>
    <w:rsid w:val="366C1435"/>
    <w:rsid w:val="373D32DE"/>
    <w:rsid w:val="37A45E5B"/>
    <w:rsid w:val="3905688A"/>
    <w:rsid w:val="3A06356A"/>
    <w:rsid w:val="3AB75864"/>
    <w:rsid w:val="3B1B6ADE"/>
    <w:rsid w:val="3B773750"/>
    <w:rsid w:val="3BE11BDD"/>
    <w:rsid w:val="3D8402F5"/>
    <w:rsid w:val="3D930104"/>
    <w:rsid w:val="3F095E9D"/>
    <w:rsid w:val="407F1303"/>
    <w:rsid w:val="41CA3534"/>
    <w:rsid w:val="42E95041"/>
    <w:rsid w:val="4431391D"/>
    <w:rsid w:val="47C025D5"/>
    <w:rsid w:val="48875B53"/>
    <w:rsid w:val="495F1070"/>
    <w:rsid w:val="4B2B66C2"/>
    <w:rsid w:val="4C2705AF"/>
    <w:rsid w:val="4CF82E4F"/>
    <w:rsid w:val="4F920EFE"/>
    <w:rsid w:val="50B51FEC"/>
    <w:rsid w:val="53D8539B"/>
    <w:rsid w:val="54621F15"/>
    <w:rsid w:val="55EB38AA"/>
    <w:rsid w:val="57E46658"/>
    <w:rsid w:val="587B2CB1"/>
    <w:rsid w:val="5B5C33B4"/>
    <w:rsid w:val="5B9260F5"/>
    <w:rsid w:val="5C4D2C60"/>
    <w:rsid w:val="5D2F184A"/>
    <w:rsid w:val="62665E83"/>
    <w:rsid w:val="654A745E"/>
    <w:rsid w:val="665D5F9A"/>
    <w:rsid w:val="68EB0838"/>
    <w:rsid w:val="68FA6D78"/>
    <w:rsid w:val="6B845F40"/>
    <w:rsid w:val="6D972B3B"/>
    <w:rsid w:val="6E261824"/>
    <w:rsid w:val="70F61E69"/>
    <w:rsid w:val="71382523"/>
    <w:rsid w:val="728C4A65"/>
    <w:rsid w:val="73AA3117"/>
    <w:rsid w:val="770558AB"/>
    <w:rsid w:val="778641AC"/>
    <w:rsid w:val="79D7793E"/>
    <w:rsid w:val="7A46483D"/>
    <w:rsid w:val="7B252B0C"/>
    <w:rsid w:val="7CBA4D9E"/>
    <w:rsid w:val="7D851D5F"/>
    <w:rsid w:val="7DBC143A"/>
    <w:rsid w:val="7E395C73"/>
    <w:rsid w:val="7E431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214">
    <w:name w:val="x_msonormal"/>
    <w:basedOn w:val="1"/>
    <w:qFormat/>
    <w:uiPriority w:val="0"/>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551E-B2D1-4074-8058-F1158482EA55}">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3</Pages>
  <Words>1200</Words>
  <Characters>6841</Characters>
  <Lines>57</Lines>
  <Paragraphs>16</Paragraphs>
  <TotalTime>26</TotalTime>
  <ScaleCrop>false</ScaleCrop>
  <LinksUpToDate>false</LinksUpToDate>
  <CharactersWithSpaces>8025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2023-02-17T02:36:26Z</dcterms:modified>
  <cp:revision>2475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